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E7DE6" w14:textId="23B80B21"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2CFF1216" wp14:editId="5065A9E9">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4" w:rsidRPr="001F515A">
        <w:rPr>
          <w:rFonts w:ascii="Verdana" w:hAnsi="Verdana"/>
          <w:sz w:val="20"/>
          <w:szCs w:val="20"/>
          <w:lang w:eastAsia="en-US"/>
        </w:rPr>
        <w:object w:dxaOrig="3165" w:dyaOrig="2340" w14:anchorId="67343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pt" o:ole="">
            <v:imagedata r:id="rId12" o:title=""/>
          </v:shape>
          <o:OLEObject Type="Embed" ProgID="Imaging.Document" ShapeID="_x0000_i1025" DrawAspect="Content" ObjectID="_1707056788" r:id="rId13"/>
        </w:object>
      </w:r>
      <w:r w:rsidR="00292904">
        <w:rPr>
          <w:rFonts w:ascii="Verdana" w:hAnsi="Verdana"/>
          <w:sz w:val="20"/>
          <w:szCs w:val="20"/>
          <w:lang w:eastAsia="en-US"/>
        </w:rPr>
        <w:tab/>
      </w:r>
      <w:r w:rsidR="00292904">
        <w:rPr>
          <w:rFonts w:ascii="Verdana" w:hAnsi="Verdana"/>
          <w:sz w:val="20"/>
          <w:szCs w:val="20"/>
          <w:lang w:eastAsia="en-US"/>
        </w:rPr>
        <w:tab/>
      </w:r>
      <w:r w:rsidR="00292904">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0C90CF61"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2A706227" w14:textId="77777777" w:rsidR="001F515A" w:rsidRPr="00457E6E" w:rsidRDefault="001F515A" w:rsidP="001F515A">
      <w:pPr>
        <w:rPr>
          <w:rFonts w:ascii="Arial" w:hAnsi="Arial" w:cs="Arial"/>
          <w:sz w:val="14"/>
          <w:szCs w:val="20"/>
          <w:lang w:eastAsia="en-US"/>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55"/>
        <w:gridCol w:w="283"/>
        <w:gridCol w:w="1701"/>
        <w:gridCol w:w="1789"/>
        <w:gridCol w:w="720"/>
        <w:gridCol w:w="1177"/>
        <w:gridCol w:w="1283"/>
        <w:gridCol w:w="1098"/>
        <w:gridCol w:w="1162"/>
        <w:gridCol w:w="2948"/>
        <w:gridCol w:w="1418"/>
      </w:tblGrid>
      <w:tr w:rsidR="001F515A" w:rsidRPr="001F515A" w14:paraId="3BE46068" w14:textId="77777777" w:rsidTr="00211C9A">
        <w:trPr>
          <w:jc w:val="center"/>
        </w:trPr>
        <w:tc>
          <w:tcPr>
            <w:tcW w:w="1555" w:type="dxa"/>
          </w:tcPr>
          <w:p w14:paraId="34724890"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1F56805A" w14:textId="77777777" w:rsidR="001F515A" w:rsidRPr="000D4A06" w:rsidRDefault="000D4A06" w:rsidP="008878A1">
            <w:pPr>
              <w:rPr>
                <w:rFonts w:ascii="Arial" w:hAnsi="Arial" w:cs="Arial"/>
                <w:bCs/>
                <w:szCs w:val="20"/>
                <w:lang w:eastAsia="en-US"/>
              </w:rPr>
            </w:pPr>
            <w:r w:rsidRPr="000D4A06">
              <w:rPr>
                <w:rFonts w:ascii="Arial" w:hAnsi="Arial" w:cs="Arial"/>
                <w:bCs/>
                <w:szCs w:val="20"/>
                <w:lang w:eastAsia="en-US"/>
              </w:rPr>
              <w:t>Community Services</w:t>
            </w:r>
          </w:p>
        </w:tc>
        <w:tc>
          <w:tcPr>
            <w:tcW w:w="283" w:type="dxa"/>
          </w:tcPr>
          <w:p w14:paraId="5486AD79" w14:textId="77777777" w:rsidR="001F515A" w:rsidRPr="001F515A" w:rsidRDefault="001F515A" w:rsidP="001F515A">
            <w:pPr>
              <w:rPr>
                <w:rFonts w:ascii="Arial" w:hAnsi="Arial" w:cs="Arial"/>
                <w:b/>
                <w:bCs/>
                <w:szCs w:val="20"/>
                <w:lang w:eastAsia="en-US"/>
              </w:rPr>
            </w:pPr>
          </w:p>
        </w:tc>
        <w:tc>
          <w:tcPr>
            <w:tcW w:w="1701" w:type="dxa"/>
          </w:tcPr>
          <w:p w14:paraId="4DB9DE50"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6E92775B" w14:textId="77777777" w:rsidR="000D4A06" w:rsidRPr="000D4A06" w:rsidRDefault="0002043A" w:rsidP="00194BC9">
            <w:pPr>
              <w:rPr>
                <w:rFonts w:ascii="Arial" w:hAnsi="Arial" w:cs="Arial"/>
                <w:bCs/>
                <w:szCs w:val="20"/>
                <w:lang w:eastAsia="en-US"/>
              </w:rPr>
            </w:pPr>
            <w:r>
              <w:rPr>
                <w:rFonts w:ascii="Arial" w:hAnsi="Arial" w:cs="Arial"/>
                <w:bCs/>
                <w:szCs w:val="20"/>
                <w:lang w:eastAsia="en-US"/>
              </w:rPr>
              <w:t>Cross-</w:t>
            </w:r>
            <w:r w:rsidR="00AD3284">
              <w:rPr>
                <w:rFonts w:ascii="Arial" w:hAnsi="Arial" w:cs="Arial"/>
                <w:bCs/>
                <w:szCs w:val="20"/>
                <w:lang w:eastAsia="en-US"/>
              </w:rPr>
              <w:t>service</w:t>
            </w:r>
          </w:p>
        </w:tc>
        <w:tc>
          <w:tcPr>
            <w:tcW w:w="2509" w:type="dxa"/>
            <w:gridSpan w:val="2"/>
          </w:tcPr>
          <w:p w14:paraId="03F9C52A"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200D8D57" w14:textId="77777777" w:rsidR="00493F4D" w:rsidRPr="000D4A06" w:rsidRDefault="00D238A5" w:rsidP="00493F4D">
            <w:pPr>
              <w:rPr>
                <w:rFonts w:ascii="Arial" w:hAnsi="Arial" w:cs="Arial"/>
                <w:bCs/>
                <w:szCs w:val="20"/>
                <w:lang w:eastAsia="en-US"/>
              </w:rPr>
            </w:pPr>
            <w:r>
              <w:rPr>
                <w:rFonts w:ascii="Arial" w:hAnsi="Arial" w:cs="Arial"/>
                <w:bCs/>
                <w:szCs w:val="20"/>
                <w:lang w:eastAsia="en-US"/>
              </w:rPr>
              <w:t>29.10</w:t>
            </w:r>
            <w:r w:rsidR="00493F4D">
              <w:rPr>
                <w:rFonts w:ascii="Arial" w:hAnsi="Arial" w:cs="Arial"/>
                <w:bCs/>
                <w:szCs w:val="20"/>
                <w:lang w:eastAsia="en-US"/>
              </w:rPr>
              <w:t>.2020</w:t>
            </w:r>
          </w:p>
          <w:p w14:paraId="42F3F51B" w14:textId="77777777" w:rsidR="001F515A" w:rsidRPr="000D4A06" w:rsidRDefault="001F515A" w:rsidP="008878A1">
            <w:pPr>
              <w:rPr>
                <w:rFonts w:ascii="Arial" w:hAnsi="Arial" w:cs="Arial"/>
                <w:bCs/>
                <w:szCs w:val="20"/>
                <w:lang w:eastAsia="en-US"/>
              </w:rPr>
            </w:pPr>
          </w:p>
        </w:tc>
        <w:tc>
          <w:tcPr>
            <w:tcW w:w="3558" w:type="dxa"/>
            <w:gridSpan w:val="3"/>
          </w:tcPr>
          <w:p w14:paraId="240EF6FC"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6D25E3C8" w14:textId="77777777" w:rsidR="001F515A" w:rsidRPr="000D4A06" w:rsidRDefault="000D4A06" w:rsidP="001F515A">
            <w:pPr>
              <w:rPr>
                <w:rFonts w:ascii="Arial" w:hAnsi="Arial" w:cs="Arial"/>
                <w:bCs/>
                <w:szCs w:val="20"/>
                <w:lang w:eastAsia="en-US"/>
              </w:rPr>
            </w:pPr>
            <w:r w:rsidRPr="000D4A06">
              <w:rPr>
                <w:rFonts w:ascii="Arial" w:hAnsi="Arial" w:cs="Arial"/>
                <w:bCs/>
                <w:szCs w:val="20"/>
                <w:lang w:eastAsia="en-US"/>
              </w:rPr>
              <w:t>Paula Redway</w:t>
            </w:r>
          </w:p>
          <w:p w14:paraId="61A05F5F" w14:textId="77777777" w:rsidR="001F515A" w:rsidRPr="001F515A" w:rsidRDefault="001F515A" w:rsidP="001F515A">
            <w:pPr>
              <w:rPr>
                <w:rFonts w:ascii="Arial" w:hAnsi="Arial" w:cs="Arial"/>
                <w:b/>
                <w:bCs/>
                <w:szCs w:val="20"/>
                <w:lang w:eastAsia="en-US"/>
              </w:rPr>
            </w:pPr>
          </w:p>
        </w:tc>
        <w:tc>
          <w:tcPr>
            <w:tcW w:w="5528" w:type="dxa"/>
            <w:gridSpan w:val="3"/>
          </w:tcPr>
          <w:p w14:paraId="6077B91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6C05AC88" w14:textId="77777777" w:rsidR="00244F49" w:rsidRPr="001F515A" w:rsidRDefault="007132D7" w:rsidP="00244F49">
            <w:pPr>
              <w:rPr>
                <w:rFonts w:ascii="Arial" w:hAnsi="Arial" w:cs="Arial"/>
                <w:b/>
                <w:bCs/>
                <w:szCs w:val="20"/>
                <w:lang w:eastAsia="en-US"/>
              </w:rPr>
            </w:pPr>
            <w:r>
              <w:rPr>
                <w:rFonts w:ascii="Arial" w:hAnsi="Arial" w:cs="Arial"/>
                <w:bCs/>
                <w:szCs w:val="20"/>
                <w:lang w:eastAsia="en-US"/>
              </w:rPr>
              <w:t>14.9.2020</w:t>
            </w:r>
            <w:r w:rsidR="00EE7CB3">
              <w:rPr>
                <w:rFonts w:ascii="Arial" w:hAnsi="Arial" w:cs="Arial"/>
                <w:bCs/>
                <w:szCs w:val="20"/>
                <w:lang w:eastAsia="en-US"/>
              </w:rPr>
              <w:t xml:space="preserve"> </w:t>
            </w:r>
          </w:p>
          <w:p w14:paraId="30B8C82E" w14:textId="77777777" w:rsidR="004674CE" w:rsidRPr="001F515A" w:rsidRDefault="004674CE" w:rsidP="00853413">
            <w:pPr>
              <w:rPr>
                <w:rFonts w:ascii="Arial" w:hAnsi="Arial" w:cs="Arial"/>
                <w:b/>
                <w:bCs/>
                <w:szCs w:val="20"/>
                <w:lang w:eastAsia="en-US"/>
              </w:rPr>
            </w:pPr>
          </w:p>
        </w:tc>
      </w:tr>
      <w:tr w:rsidR="001F515A" w:rsidRPr="001F515A" w14:paraId="0586B3BB" w14:textId="77777777" w:rsidTr="00211C9A">
        <w:trPr>
          <w:jc w:val="center"/>
        </w:trPr>
        <w:tc>
          <w:tcPr>
            <w:tcW w:w="3539" w:type="dxa"/>
            <w:gridSpan w:val="3"/>
          </w:tcPr>
          <w:p w14:paraId="43534B80"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w:t>
            </w:r>
            <w:r w:rsidR="006762B3">
              <w:rPr>
                <w:rFonts w:ascii="Arial" w:hAnsi="Arial" w:cs="Arial"/>
                <w:b/>
                <w:bCs/>
                <w:szCs w:val="20"/>
                <w:lang w:eastAsia="en-US"/>
              </w:rPr>
              <w:t>/Strategy</w:t>
            </w:r>
            <w:r w:rsidRPr="001F515A">
              <w:rPr>
                <w:rFonts w:ascii="Arial" w:hAnsi="Arial" w:cs="Arial"/>
                <w:b/>
                <w:bCs/>
                <w:szCs w:val="20"/>
                <w:lang w:eastAsia="en-US"/>
              </w:rPr>
              <w:t xml:space="preserve"> to be assessed:</w:t>
            </w:r>
          </w:p>
        </w:tc>
        <w:tc>
          <w:tcPr>
            <w:tcW w:w="11595" w:type="dxa"/>
            <w:gridSpan w:val="8"/>
          </w:tcPr>
          <w:p w14:paraId="6D843F8B" w14:textId="6B1CA1F4" w:rsidR="001F515A" w:rsidRPr="0054009D" w:rsidRDefault="00194BC9" w:rsidP="00B2346F">
            <w:pPr>
              <w:rPr>
                <w:rFonts w:ascii="Arial" w:hAnsi="Arial" w:cs="Arial"/>
                <w:szCs w:val="20"/>
                <w:lang w:eastAsia="en-US"/>
              </w:rPr>
            </w:pPr>
            <w:r>
              <w:rPr>
                <w:rFonts w:ascii="Arial" w:hAnsi="Arial" w:cs="Arial"/>
                <w:bCs/>
                <w:szCs w:val="20"/>
                <w:lang w:eastAsia="en-US"/>
              </w:rPr>
              <w:t>Equ</w:t>
            </w:r>
            <w:r w:rsidR="00B2346F">
              <w:rPr>
                <w:rFonts w:ascii="Arial" w:hAnsi="Arial" w:cs="Arial"/>
                <w:bCs/>
                <w:szCs w:val="20"/>
                <w:lang w:eastAsia="en-US"/>
              </w:rPr>
              <w:t xml:space="preserve">ality, Diversity and Inclusion </w:t>
            </w:r>
            <w:r>
              <w:rPr>
                <w:rFonts w:ascii="Arial" w:hAnsi="Arial" w:cs="Arial"/>
                <w:bCs/>
                <w:szCs w:val="20"/>
                <w:lang w:eastAsia="en-US"/>
              </w:rPr>
              <w:t>Strategy</w:t>
            </w:r>
          </w:p>
        </w:tc>
      </w:tr>
      <w:tr w:rsidR="0054009D" w:rsidRPr="001F515A" w14:paraId="48BB4E6A" w14:textId="77777777" w:rsidTr="00211C9A">
        <w:trPr>
          <w:trHeight w:val="96"/>
          <w:jc w:val="center"/>
        </w:trPr>
        <w:tc>
          <w:tcPr>
            <w:tcW w:w="3539" w:type="dxa"/>
            <w:gridSpan w:val="3"/>
            <w:vMerge w:val="restart"/>
          </w:tcPr>
          <w:p w14:paraId="1BA9C6B5"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686" w:type="dxa"/>
            <w:gridSpan w:val="3"/>
            <w:shd w:val="clear" w:color="auto" w:fill="auto"/>
          </w:tcPr>
          <w:p w14:paraId="5B38C2F4"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r w:rsidR="00415B2D">
              <w:rPr>
                <w:rFonts w:ascii="Arial" w:hAnsi="Arial" w:cs="Arial"/>
                <w:b/>
                <w:i/>
                <w:iCs/>
                <w:szCs w:val="20"/>
                <w:lang w:eastAsia="en-US"/>
              </w:rPr>
              <w:t xml:space="preserve"> √</w:t>
            </w:r>
          </w:p>
        </w:tc>
        <w:tc>
          <w:tcPr>
            <w:tcW w:w="3543" w:type="dxa"/>
            <w:gridSpan w:val="3"/>
            <w:shd w:val="clear" w:color="auto" w:fill="auto"/>
          </w:tcPr>
          <w:p w14:paraId="2B9BE322"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r w:rsidR="00415B2D">
              <w:rPr>
                <w:rFonts w:ascii="Arial" w:hAnsi="Arial" w:cs="Arial"/>
                <w:b/>
                <w:i/>
                <w:iCs/>
                <w:szCs w:val="20"/>
                <w:lang w:eastAsia="en-US"/>
              </w:rPr>
              <w:t xml:space="preserve"> √</w:t>
            </w:r>
          </w:p>
        </w:tc>
        <w:tc>
          <w:tcPr>
            <w:tcW w:w="4366" w:type="dxa"/>
            <w:gridSpan w:val="2"/>
            <w:shd w:val="clear" w:color="auto" w:fill="auto"/>
          </w:tcPr>
          <w:p w14:paraId="166556B0"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r w:rsidR="00415B2D">
              <w:rPr>
                <w:rFonts w:ascii="Arial" w:hAnsi="Arial" w:cs="Arial"/>
                <w:b/>
                <w:i/>
                <w:iCs/>
                <w:szCs w:val="20"/>
                <w:lang w:eastAsia="en-US"/>
              </w:rPr>
              <w:t>√</w:t>
            </w:r>
          </w:p>
        </w:tc>
      </w:tr>
      <w:tr w:rsidR="0054009D" w:rsidRPr="001F515A" w14:paraId="32A1B7E2" w14:textId="77777777" w:rsidTr="00211C9A">
        <w:trPr>
          <w:jc w:val="center"/>
        </w:trPr>
        <w:tc>
          <w:tcPr>
            <w:tcW w:w="3539" w:type="dxa"/>
            <w:gridSpan w:val="3"/>
            <w:vMerge/>
          </w:tcPr>
          <w:p w14:paraId="54BC265A" w14:textId="77777777" w:rsidR="0054009D" w:rsidRPr="001F515A" w:rsidRDefault="0054009D" w:rsidP="001F515A">
            <w:pPr>
              <w:rPr>
                <w:rFonts w:ascii="Arial" w:hAnsi="Arial" w:cs="Arial"/>
                <w:szCs w:val="20"/>
                <w:lang w:eastAsia="en-US"/>
              </w:rPr>
            </w:pPr>
          </w:p>
        </w:tc>
        <w:tc>
          <w:tcPr>
            <w:tcW w:w="3686" w:type="dxa"/>
            <w:gridSpan w:val="3"/>
            <w:shd w:val="clear" w:color="auto" w:fill="auto"/>
          </w:tcPr>
          <w:p w14:paraId="51182F79"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r w:rsidR="00415B2D">
              <w:rPr>
                <w:rFonts w:ascii="Arial" w:hAnsi="Arial" w:cs="Arial"/>
                <w:b/>
                <w:i/>
                <w:iCs/>
                <w:szCs w:val="20"/>
                <w:lang w:eastAsia="en-US"/>
              </w:rPr>
              <w:t xml:space="preserve"> √</w:t>
            </w:r>
          </w:p>
        </w:tc>
        <w:tc>
          <w:tcPr>
            <w:tcW w:w="3543" w:type="dxa"/>
            <w:gridSpan w:val="3"/>
            <w:shd w:val="clear" w:color="auto" w:fill="auto"/>
          </w:tcPr>
          <w:p w14:paraId="27E21A90"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r w:rsidR="00415B2D">
              <w:rPr>
                <w:rFonts w:ascii="Arial" w:hAnsi="Arial" w:cs="Arial"/>
                <w:b/>
                <w:i/>
                <w:iCs/>
                <w:szCs w:val="20"/>
                <w:lang w:eastAsia="en-US"/>
              </w:rPr>
              <w:t xml:space="preserve"> √</w:t>
            </w:r>
          </w:p>
        </w:tc>
        <w:tc>
          <w:tcPr>
            <w:tcW w:w="4366" w:type="dxa"/>
            <w:gridSpan w:val="2"/>
            <w:shd w:val="clear" w:color="auto" w:fill="auto"/>
          </w:tcPr>
          <w:p w14:paraId="2821C57B"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r w:rsidR="00415B2D">
              <w:rPr>
                <w:rFonts w:ascii="Arial" w:hAnsi="Arial" w:cs="Arial"/>
                <w:b/>
                <w:i/>
                <w:iCs/>
                <w:szCs w:val="20"/>
                <w:lang w:eastAsia="en-US"/>
              </w:rPr>
              <w:t xml:space="preserve"> √</w:t>
            </w:r>
          </w:p>
        </w:tc>
      </w:tr>
      <w:tr w:rsidR="0054009D" w:rsidRPr="001F515A" w14:paraId="7E62A136" w14:textId="77777777" w:rsidTr="00211C9A">
        <w:trPr>
          <w:jc w:val="center"/>
        </w:trPr>
        <w:tc>
          <w:tcPr>
            <w:tcW w:w="3539" w:type="dxa"/>
            <w:gridSpan w:val="3"/>
            <w:vMerge/>
          </w:tcPr>
          <w:p w14:paraId="0118156C" w14:textId="77777777" w:rsidR="0054009D" w:rsidRPr="001F515A" w:rsidRDefault="0054009D" w:rsidP="001F515A">
            <w:pPr>
              <w:rPr>
                <w:rFonts w:ascii="Arial" w:hAnsi="Arial" w:cs="Arial"/>
                <w:b/>
                <w:szCs w:val="20"/>
                <w:lang w:eastAsia="en-US"/>
              </w:rPr>
            </w:pPr>
          </w:p>
        </w:tc>
        <w:tc>
          <w:tcPr>
            <w:tcW w:w="3686" w:type="dxa"/>
            <w:gridSpan w:val="3"/>
            <w:shd w:val="clear" w:color="auto" w:fill="auto"/>
          </w:tcPr>
          <w:p w14:paraId="13FA8C2E"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r w:rsidR="00415B2D">
              <w:rPr>
                <w:rFonts w:ascii="Arial" w:hAnsi="Arial" w:cs="Arial"/>
                <w:b/>
                <w:i/>
                <w:iCs/>
                <w:szCs w:val="20"/>
                <w:lang w:eastAsia="en-US"/>
              </w:rPr>
              <w:t xml:space="preserve"> √</w:t>
            </w:r>
          </w:p>
        </w:tc>
        <w:tc>
          <w:tcPr>
            <w:tcW w:w="3543" w:type="dxa"/>
            <w:gridSpan w:val="3"/>
            <w:shd w:val="clear" w:color="auto" w:fill="auto"/>
          </w:tcPr>
          <w:p w14:paraId="0DE0802E"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r w:rsidR="00415B2D">
              <w:rPr>
                <w:rFonts w:ascii="Arial" w:hAnsi="Arial" w:cs="Arial"/>
                <w:b/>
                <w:i/>
                <w:iCs/>
                <w:szCs w:val="20"/>
                <w:lang w:eastAsia="en-US"/>
              </w:rPr>
              <w:t xml:space="preserve"> √</w:t>
            </w:r>
          </w:p>
        </w:tc>
        <w:tc>
          <w:tcPr>
            <w:tcW w:w="4366" w:type="dxa"/>
            <w:gridSpan w:val="2"/>
            <w:shd w:val="clear" w:color="auto" w:fill="auto"/>
          </w:tcPr>
          <w:p w14:paraId="78A21DEA"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14:paraId="6529C545" w14:textId="77777777" w:rsidTr="00211C9A">
        <w:trPr>
          <w:jc w:val="center"/>
        </w:trPr>
        <w:tc>
          <w:tcPr>
            <w:tcW w:w="3539" w:type="dxa"/>
            <w:gridSpan w:val="3"/>
          </w:tcPr>
          <w:p w14:paraId="28CF9F50" w14:textId="77777777" w:rsidR="0086495A" w:rsidRDefault="0086495A" w:rsidP="001F515A">
            <w:pPr>
              <w:rPr>
                <w:rFonts w:ascii="Arial" w:hAnsi="Arial" w:cs="Arial"/>
                <w:b/>
                <w:szCs w:val="20"/>
                <w:lang w:eastAsia="en-US"/>
              </w:rPr>
            </w:pPr>
            <w:r>
              <w:rPr>
                <w:rFonts w:ascii="Arial" w:hAnsi="Arial" w:cs="Arial"/>
                <w:b/>
                <w:szCs w:val="20"/>
                <w:lang w:eastAsia="en-US"/>
              </w:rPr>
              <w:t>Other strategic/</w:t>
            </w:r>
          </w:p>
          <w:p w14:paraId="401F7BEE"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equalities considerations</w:t>
            </w:r>
          </w:p>
        </w:tc>
        <w:tc>
          <w:tcPr>
            <w:tcW w:w="3686" w:type="dxa"/>
            <w:gridSpan w:val="3"/>
            <w:shd w:val="clear" w:color="auto" w:fill="auto"/>
          </w:tcPr>
          <w:p w14:paraId="12E23853" w14:textId="77777777" w:rsidR="001F515A" w:rsidRDefault="00493F4D" w:rsidP="001F515A">
            <w:pPr>
              <w:jc w:val="center"/>
              <w:rPr>
                <w:rFonts w:ascii="Arial" w:hAnsi="Arial" w:cs="Arial"/>
                <w:b/>
                <w:i/>
                <w:iCs/>
                <w:szCs w:val="20"/>
                <w:lang w:eastAsia="en-US"/>
              </w:rPr>
            </w:pPr>
            <w:r>
              <w:rPr>
                <w:rFonts w:ascii="Arial" w:hAnsi="Arial" w:cs="Arial"/>
                <w:b/>
                <w:i/>
                <w:iCs/>
                <w:szCs w:val="20"/>
                <w:lang w:eastAsia="en-US"/>
              </w:rPr>
              <w:t>Oxford City Council S</w:t>
            </w:r>
            <w:r w:rsidR="00D238A5">
              <w:rPr>
                <w:rFonts w:ascii="Arial" w:hAnsi="Arial" w:cs="Arial"/>
                <w:b/>
                <w:i/>
                <w:iCs/>
                <w:szCs w:val="20"/>
                <w:lang w:eastAsia="en-US"/>
              </w:rPr>
              <w:t>trategy</w:t>
            </w:r>
            <w:r w:rsidR="00415B2D">
              <w:rPr>
                <w:rFonts w:ascii="Arial" w:hAnsi="Arial" w:cs="Arial"/>
                <w:b/>
                <w:i/>
                <w:iCs/>
                <w:szCs w:val="20"/>
                <w:lang w:eastAsia="en-US"/>
              </w:rPr>
              <w:t>√</w:t>
            </w:r>
          </w:p>
          <w:p w14:paraId="0B9779FC" w14:textId="77777777" w:rsidR="005719F8" w:rsidRDefault="005719F8" w:rsidP="005719F8">
            <w:pPr>
              <w:jc w:val="center"/>
              <w:rPr>
                <w:rFonts w:ascii="Arial" w:hAnsi="Arial" w:cs="Arial"/>
                <w:b/>
                <w:i/>
                <w:iCs/>
                <w:szCs w:val="20"/>
                <w:lang w:eastAsia="en-US"/>
              </w:rPr>
            </w:pPr>
            <w:r>
              <w:rPr>
                <w:rFonts w:ascii="Arial" w:hAnsi="Arial" w:cs="Arial"/>
                <w:b/>
                <w:i/>
                <w:iCs/>
                <w:szCs w:val="20"/>
                <w:lang w:eastAsia="en-US"/>
              </w:rPr>
              <w:t>Thriving Communities Strategy√</w:t>
            </w:r>
          </w:p>
          <w:p w14:paraId="4D2F6401" w14:textId="77777777" w:rsidR="00DB0023" w:rsidRDefault="00081AFE" w:rsidP="00081AFE">
            <w:pPr>
              <w:jc w:val="center"/>
              <w:rPr>
                <w:rFonts w:ascii="Arial" w:hAnsi="Arial" w:cs="Arial"/>
                <w:b/>
                <w:i/>
                <w:iCs/>
                <w:szCs w:val="20"/>
                <w:lang w:eastAsia="en-US"/>
              </w:rPr>
            </w:pPr>
            <w:r>
              <w:rPr>
                <w:rFonts w:ascii="Arial" w:hAnsi="Arial" w:cs="Arial"/>
                <w:b/>
                <w:i/>
                <w:iCs/>
                <w:szCs w:val="20"/>
                <w:lang w:eastAsia="en-US"/>
              </w:rPr>
              <w:t>Anti-Racism Charter √</w:t>
            </w:r>
          </w:p>
          <w:p w14:paraId="2E1C61B1" w14:textId="77777777" w:rsidR="003D39AC" w:rsidRPr="0054009D" w:rsidRDefault="003D39AC" w:rsidP="00F60399">
            <w:pPr>
              <w:jc w:val="center"/>
              <w:rPr>
                <w:rFonts w:ascii="Arial" w:hAnsi="Arial" w:cs="Arial"/>
                <w:b/>
                <w:i/>
                <w:iCs/>
                <w:szCs w:val="20"/>
                <w:lang w:eastAsia="en-US"/>
              </w:rPr>
            </w:pPr>
            <w:r>
              <w:rPr>
                <w:rFonts w:ascii="Arial" w:hAnsi="Arial" w:cs="Arial"/>
                <w:b/>
                <w:i/>
                <w:iCs/>
                <w:szCs w:val="20"/>
                <w:lang w:eastAsia="en-US"/>
              </w:rPr>
              <w:t>People Strategy√</w:t>
            </w:r>
          </w:p>
        </w:tc>
        <w:tc>
          <w:tcPr>
            <w:tcW w:w="3543" w:type="dxa"/>
            <w:gridSpan w:val="3"/>
            <w:shd w:val="clear" w:color="auto" w:fill="auto"/>
          </w:tcPr>
          <w:p w14:paraId="11DC8949" w14:textId="77777777" w:rsidR="00234A94" w:rsidRDefault="00234A94" w:rsidP="00234A94">
            <w:pPr>
              <w:jc w:val="center"/>
              <w:rPr>
                <w:rFonts w:ascii="Arial" w:hAnsi="Arial" w:cs="Arial"/>
                <w:b/>
                <w:i/>
                <w:iCs/>
                <w:szCs w:val="20"/>
                <w:lang w:eastAsia="en-US"/>
              </w:rPr>
            </w:pPr>
            <w:r>
              <w:rPr>
                <w:rFonts w:ascii="Arial" w:hAnsi="Arial" w:cs="Arial"/>
                <w:b/>
                <w:i/>
                <w:iCs/>
                <w:szCs w:val="20"/>
                <w:lang w:eastAsia="en-US"/>
              </w:rPr>
              <w:t>Housing, Homelessness and Rough Sleeping Strategy √</w:t>
            </w:r>
          </w:p>
          <w:p w14:paraId="548B8205" w14:textId="77777777" w:rsidR="00B34BF6" w:rsidRPr="005719F8" w:rsidRDefault="00B34BF6" w:rsidP="00234A94">
            <w:pPr>
              <w:jc w:val="center"/>
              <w:rPr>
                <w:rFonts w:ascii="Arial" w:hAnsi="Arial" w:cs="Arial"/>
                <w:i/>
                <w:iCs/>
                <w:szCs w:val="20"/>
                <w:lang w:eastAsia="en-US"/>
              </w:rPr>
            </w:pPr>
            <w:r>
              <w:rPr>
                <w:rFonts w:ascii="Arial" w:hAnsi="Arial" w:cs="Arial"/>
                <w:b/>
                <w:i/>
                <w:iCs/>
                <w:szCs w:val="20"/>
                <w:lang w:eastAsia="en-US"/>
              </w:rPr>
              <w:t>Grant Review√</w:t>
            </w:r>
          </w:p>
          <w:p w14:paraId="0707E51E" w14:textId="77777777" w:rsidR="00DB0023" w:rsidRDefault="0086495A" w:rsidP="00234A94">
            <w:pPr>
              <w:jc w:val="center"/>
              <w:rPr>
                <w:rFonts w:ascii="Arial" w:hAnsi="Arial" w:cs="Arial"/>
                <w:b/>
                <w:i/>
                <w:iCs/>
                <w:szCs w:val="20"/>
                <w:lang w:eastAsia="en-US"/>
              </w:rPr>
            </w:pPr>
            <w:r>
              <w:rPr>
                <w:rFonts w:ascii="Arial" w:hAnsi="Arial" w:cs="Arial"/>
                <w:b/>
                <w:i/>
                <w:iCs/>
                <w:szCs w:val="20"/>
                <w:lang w:eastAsia="en-US"/>
              </w:rPr>
              <w:t>Service Integration Plan√</w:t>
            </w:r>
          </w:p>
          <w:p w14:paraId="54ED6792" w14:textId="77777777" w:rsidR="00792DE3" w:rsidRPr="0054009D" w:rsidRDefault="00792DE3" w:rsidP="00234A94">
            <w:pPr>
              <w:jc w:val="center"/>
              <w:rPr>
                <w:rFonts w:ascii="Arial" w:hAnsi="Arial" w:cs="Arial"/>
                <w:b/>
                <w:i/>
                <w:iCs/>
                <w:szCs w:val="20"/>
                <w:lang w:eastAsia="en-US"/>
              </w:rPr>
            </w:pPr>
            <w:r>
              <w:rPr>
                <w:rFonts w:ascii="Arial" w:hAnsi="Arial" w:cs="Arial"/>
                <w:b/>
                <w:i/>
                <w:iCs/>
                <w:szCs w:val="20"/>
                <w:lang w:eastAsia="en-US"/>
              </w:rPr>
              <w:t>Zero Carbon Oxford√</w:t>
            </w:r>
          </w:p>
        </w:tc>
        <w:tc>
          <w:tcPr>
            <w:tcW w:w="4366" w:type="dxa"/>
            <w:gridSpan w:val="2"/>
            <w:shd w:val="clear" w:color="auto" w:fill="auto"/>
          </w:tcPr>
          <w:p w14:paraId="32AB244E" w14:textId="77777777" w:rsidR="00234A94" w:rsidRDefault="00234A94" w:rsidP="00234A94">
            <w:pPr>
              <w:jc w:val="center"/>
              <w:rPr>
                <w:rFonts w:ascii="Arial" w:hAnsi="Arial" w:cs="Arial"/>
                <w:b/>
                <w:i/>
                <w:iCs/>
                <w:szCs w:val="20"/>
                <w:lang w:eastAsia="en-US"/>
              </w:rPr>
            </w:pPr>
            <w:r>
              <w:rPr>
                <w:rFonts w:ascii="Arial" w:hAnsi="Arial" w:cs="Arial"/>
                <w:b/>
                <w:i/>
                <w:iCs/>
                <w:szCs w:val="20"/>
                <w:lang w:eastAsia="en-US"/>
              </w:rPr>
              <w:t>Economic Strategy√</w:t>
            </w:r>
          </w:p>
          <w:p w14:paraId="6A9C9D20" w14:textId="77777777" w:rsidR="00234A94" w:rsidRDefault="00234A94" w:rsidP="00234A94">
            <w:pPr>
              <w:jc w:val="center"/>
              <w:rPr>
                <w:rFonts w:ascii="Arial" w:hAnsi="Arial" w:cs="Arial"/>
                <w:b/>
                <w:i/>
                <w:iCs/>
                <w:szCs w:val="20"/>
                <w:lang w:eastAsia="en-US"/>
              </w:rPr>
            </w:pPr>
            <w:r>
              <w:rPr>
                <w:rFonts w:ascii="Arial" w:hAnsi="Arial" w:cs="Arial"/>
                <w:b/>
                <w:i/>
                <w:iCs/>
                <w:szCs w:val="20"/>
                <w:lang w:eastAsia="en-US"/>
              </w:rPr>
              <w:t>City Centre Strategy√</w:t>
            </w:r>
          </w:p>
          <w:p w14:paraId="1544B7D5" w14:textId="77777777" w:rsidR="00D238A5" w:rsidRDefault="00D238A5" w:rsidP="001F515A">
            <w:pPr>
              <w:jc w:val="center"/>
              <w:rPr>
                <w:rFonts w:ascii="Arial" w:hAnsi="Arial" w:cs="Arial"/>
                <w:b/>
                <w:i/>
                <w:iCs/>
                <w:szCs w:val="20"/>
                <w:lang w:eastAsia="en-US"/>
              </w:rPr>
            </w:pPr>
            <w:r>
              <w:rPr>
                <w:rFonts w:ascii="Arial" w:hAnsi="Arial" w:cs="Arial"/>
                <w:b/>
                <w:i/>
                <w:iCs/>
                <w:szCs w:val="20"/>
                <w:lang w:eastAsia="en-US"/>
              </w:rPr>
              <w:t>Asset Management Strategy</w:t>
            </w:r>
            <w:r w:rsidR="00234A94">
              <w:rPr>
                <w:rFonts w:ascii="Arial" w:hAnsi="Arial" w:cs="Arial"/>
                <w:b/>
                <w:i/>
                <w:iCs/>
                <w:szCs w:val="20"/>
                <w:lang w:eastAsia="en-US"/>
              </w:rPr>
              <w:t>√</w:t>
            </w:r>
          </w:p>
          <w:p w14:paraId="084D2CBE" w14:textId="77777777" w:rsidR="0069106B" w:rsidRDefault="0069106B" w:rsidP="001F515A">
            <w:pPr>
              <w:jc w:val="center"/>
              <w:rPr>
                <w:rFonts w:ascii="Arial" w:hAnsi="Arial" w:cs="Arial"/>
                <w:b/>
                <w:i/>
                <w:iCs/>
                <w:szCs w:val="20"/>
                <w:lang w:eastAsia="en-US"/>
              </w:rPr>
            </w:pPr>
            <w:r>
              <w:rPr>
                <w:rFonts w:ascii="Arial" w:hAnsi="Arial" w:cs="Arial"/>
                <w:b/>
                <w:i/>
                <w:iCs/>
                <w:szCs w:val="20"/>
                <w:lang w:eastAsia="en-US"/>
              </w:rPr>
              <w:t>Museum of Oxford Transformation√</w:t>
            </w:r>
          </w:p>
          <w:p w14:paraId="13BA17A5" w14:textId="77777777" w:rsidR="00BD262B" w:rsidRPr="001F515A" w:rsidRDefault="00BD262B" w:rsidP="001F515A">
            <w:pPr>
              <w:jc w:val="center"/>
              <w:rPr>
                <w:rFonts w:ascii="Arial" w:hAnsi="Arial" w:cs="Arial"/>
                <w:b/>
                <w:i/>
                <w:iCs/>
                <w:szCs w:val="20"/>
                <w:lang w:eastAsia="en-US"/>
              </w:rPr>
            </w:pPr>
            <w:r>
              <w:rPr>
                <w:rFonts w:ascii="Arial" w:hAnsi="Arial" w:cs="Arial"/>
                <w:b/>
                <w:i/>
                <w:iCs/>
                <w:szCs w:val="20"/>
                <w:lang w:eastAsia="en-US"/>
              </w:rPr>
              <w:t>ICT Strategy√</w:t>
            </w:r>
          </w:p>
        </w:tc>
      </w:tr>
      <w:tr w:rsidR="001F515A" w:rsidRPr="001F515A" w14:paraId="31EE0435" w14:textId="77777777" w:rsidTr="00211C9A">
        <w:trPr>
          <w:trHeight w:val="359"/>
          <w:jc w:val="center"/>
        </w:trPr>
        <w:tc>
          <w:tcPr>
            <w:tcW w:w="3539" w:type="dxa"/>
            <w:gridSpan w:val="3"/>
          </w:tcPr>
          <w:p w14:paraId="0E81C7FA"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23E1887B" w14:textId="77777777" w:rsidR="001F515A" w:rsidRPr="001F515A" w:rsidRDefault="001F515A" w:rsidP="001F515A">
            <w:pPr>
              <w:rPr>
                <w:rFonts w:ascii="Arial" w:hAnsi="Arial" w:cs="Arial"/>
                <w:szCs w:val="20"/>
                <w:lang w:eastAsia="en-US"/>
              </w:rPr>
            </w:pPr>
          </w:p>
          <w:p w14:paraId="1E3D952D" w14:textId="77777777" w:rsid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w:t>
            </w:r>
            <w:r w:rsidR="000C4259">
              <w:rPr>
                <w:rFonts w:ascii="Arial" w:hAnsi="Arial" w:cs="Arial"/>
                <w:szCs w:val="20"/>
                <w:lang w:eastAsia="en-US"/>
              </w:rPr>
              <w:t>review</w:t>
            </w:r>
            <w:r w:rsidRPr="001F515A">
              <w:rPr>
                <w:rFonts w:ascii="Arial" w:hAnsi="Arial" w:cs="Arial"/>
                <w:szCs w:val="20"/>
                <w:lang w:eastAsia="en-US"/>
              </w:rPr>
              <w:t xml:space="preserve"> and the perceived problems with the </w:t>
            </w:r>
            <w:r w:rsidR="000C4259">
              <w:rPr>
                <w:rFonts w:ascii="Arial" w:hAnsi="Arial" w:cs="Arial"/>
                <w:szCs w:val="20"/>
                <w:lang w:eastAsia="en-US"/>
              </w:rPr>
              <w:t xml:space="preserve">review </w:t>
            </w:r>
            <w:r w:rsidRPr="001F515A">
              <w:rPr>
                <w:rFonts w:ascii="Arial" w:hAnsi="Arial" w:cs="Arial"/>
                <w:szCs w:val="20"/>
                <w:lang w:eastAsia="en-US"/>
              </w:rPr>
              <w:t>which are the reason for the Impact Assessment.</w:t>
            </w:r>
          </w:p>
          <w:p w14:paraId="3B90A58E" w14:textId="77777777" w:rsidR="00457E6E" w:rsidRPr="00457E6E" w:rsidRDefault="00457E6E" w:rsidP="001F515A">
            <w:pPr>
              <w:rPr>
                <w:rFonts w:ascii="Arial" w:hAnsi="Arial" w:cs="Arial"/>
                <w:sz w:val="12"/>
                <w:szCs w:val="20"/>
                <w:lang w:eastAsia="en-US"/>
              </w:rPr>
            </w:pPr>
          </w:p>
        </w:tc>
        <w:tc>
          <w:tcPr>
            <w:tcW w:w="11595" w:type="dxa"/>
            <w:gridSpan w:val="8"/>
          </w:tcPr>
          <w:p w14:paraId="372C19FE" w14:textId="60595C5B" w:rsidR="00967B90" w:rsidRPr="00967B90" w:rsidRDefault="000C4259" w:rsidP="00B81299">
            <w:pPr>
              <w:rPr>
                <w:rFonts w:ascii="Arial" w:hAnsi="Arial" w:cs="Arial"/>
              </w:rPr>
            </w:pPr>
            <w:r w:rsidRPr="00493F4D">
              <w:rPr>
                <w:rFonts w:ascii="Arial" w:hAnsi="Arial" w:cs="Arial"/>
              </w:rPr>
              <w:t xml:space="preserve">The purpose of the </w:t>
            </w:r>
            <w:r w:rsidR="00D80D34" w:rsidRPr="00493F4D">
              <w:rPr>
                <w:rFonts w:ascii="Arial" w:hAnsi="Arial" w:cs="Arial"/>
              </w:rPr>
              <w:t>Equality, Diversity</w:t>
            </w:r>
            <w:r w:rsidR="00A30C3C">
              <w:rPr>
                <w:rFonts w:ascii="Arial" w:hAnsi="Arial" w:cs="Arial"/>
              </w:rPr>
              <w:t xml:space="preserve"> and </w:t>
            </w:r>
            <w:r w:rsidR="00D80D34" w:rsidRPr="00493F4D">
              <w:rPr>
                <w:rFonts w:ascii="Arial" w:hAnsi="Arial" w:cs="Arial"/>
              </w:rPr>
              <w:t xml:space="preserve">Inclusion Strategy </w:t>
            </w:r>
            <w:r w:rsidRPr="00493F4D">
              <w:rPr>
                <w:rFonts w:ascii="Arial" w:hAnsi="Arial" w:cs="Arial"/>
              </w:rPr>
              <w:t xml:space="preserve">is to </w:t>
            </w:r>
            <w:r w:rsidR="00493F4D" w:rsidRPr="00493F4D">
              <w:rPr>
                <w:rFonts w:ascii="Arial" w:hAnsi="Arial" w:cs="Arial"/>
              </w:rPr>
              <w:t xml:space="preserve">ensure that </w:t>
            </w:r>
            <w:r w:rsidR="00967B90" w:rsidRPr="00493F4D">
              <w:rPr>
                <w:rFonts w:ascii="Arial" w:hAnsi="Arial" w:cs="Arial"/>
              </w:rPr>
              <w:t xml:space="preserve">equality, diversity, inclusion </w:t>
            </w:r>
            <w:r w:rsidR="00493F4D" w:rsidRPr="00493F4D">
              <w:rPr>
                <w:rFonts w:ascii="Arial" w:hAnsi="Arial" w:cs="Arial"/>
              </w:rPr>
              <w:t xml:space="preserve">is being developed </w:t>
            </w:r>
            <w:r w:rsidR="00967B90">
              <w:rPr>
                <w:rFonts w:ascii="Arial" w:hAnsi="Arial" w:cs="Arial"/>
              </w:rPr>
              <w:t xml:space="preserve">and monitored </w:t>
            </w:r>
            <w:r w:rsidR="00493F4D" w:rsidRPr="00493F4D">
              <w:rPr>
                <w:rFonts w:ascii="Arial" w:hAnsi="Arial" w:cs="Arial"/>
              </w:rPr>
              <w:t xml:space="preserve">as a cross-cutting theme that runs through all key </w:t>
            </w:r>
            <w:r w:rsidR="00493F4D">
              <w:rPr>
                <w:rFonts w:ascii="Arial" w:hAnsi="Arial" w:cs="Arial"/>
              </w:rPr>
              <w:t xml:space="preserve">Council </w:t>
            </w:r>
            <w:r w:rsidR="00493F4D" w:rsidRPr="00493F4D">
              <w:rPr>
                <w:rFonts w:ascii="Arial" w:hAnsi="Arial" w:cs="Arial"/>
              </w:rPr>
              <w:t>policies and service strategies</w:t>
            </w:r>
            <w:r w:rsidR="004D0AF1">
              <w:rPr>
                <w:rFonts w:ascii="Arial" w:hAnsi="Arial" w:cs="Arial"/>
              </w:rPr>
              <w:t xml:space="preserve"> to help reduce inequalities in Oxford</w:t>
            </w:r>
            <w:r w:rsidRPr="00493F4D">
              <w:rPr>
                <w:rFonts w:ascii="Arial" w:hAnsi="Arial" w:cs="Arial"/>
              </w:rPr>
              <w:t>.</w:t>
            </w:r>
            <w:r w:rsidR="00A30C3C">
              <w:rPr>
                <w:rFonts w:ascii="Arial" w:hAnsi="Arial" w:cs="Arial"/>
              </w:rPr>
              <w:t xml:space="preserve"> </w:t>
            </w:r>
            <w:r w:rsidR="00475DDD" w:rsidRPr="00475DDD">
              <w:rPr>
                <w:rFonts w:ascii="Arial" w:hAnsi="Arial" w:cs="Arial"/>
              </w:rPr>
              <w:t>Intrinsically</w:t>
            </w:r>
            <w:r w:rsidR="00626FEC" w:rsidRPr="00475DDD">
              <w:rPr>
                <w:rFonts w:ascii="Arial" w:hAnsi="Arial" w:cs="Arial"/>
              </w:rPr>
              <w:t xml:space="preserve">, the </w:t>
            </w:r>
            <w:r w:rsidR="00D80D34" w:rsidRPr="00475DDD">
              <w:rPr>
                <w:rFonts w:ascii="Arial" w:hAnsi="Arial" w:cs="Arial"/>
              </w:rPr>
              <w:t xml:space="preserve">strategy is an ongoing </w:t>
            </w:r>
            <w:r w:rsidR="00A46F45" w:rsidRPr="00475DDD">
              <w:rPr>
                <w:rFonts w:ascii="Arial" w:hAnsi="Arial" w:cs="Arial"/>
              </w:rPr>
              <w:t>Equalities Impact Assessment</w:t>
            </w:r>
            <w:r w:rsidR="009A6DC3">
              <w:rPr>
                <w:rFonts w:ascii="Arial" w:hAnsi="Arial" w:cs="Arial"/>
              </w:rPr>
              <w:t xml:space="preserve"> (EIA)</w:t>
            </w:r>
            <w:r w:rsidR="00A46F45" w:rsidRPr="00475DDD">
              <w:rPr>
                <w:rFonts w:ascii="Arial" w:hAnsi="Arial" w:cs="Arial"/>
              </w:rPr>
              <w:t xml:space="preserve"> of </w:t>
            </w:r>
            <w:r w:rsidR="00D80D34" w:rsidRPr="00475DDD">
              <w:rPr>
                <w:rFonts w:ascii="Arial" w:hAnsi="Arial" w:cs="Arial"/>
              </w:rPr>
              <w:t xml:space="preserve">some of the </w:t>
            </w:r>
            <w:r w:rsidR="00493F4D">
              <w:rPr>
                <w:rFonts w:ascii="Arial" w:hAnsi="Arial" w:cs="Arial"/>
              </w:rPr>
              <w:t xml:space="preserve">major </w:t>
            </w:r>
            <w:r w:rsidR="00D80D34" w:rsidRPr="00475DDD">
              <w:rPr>
                <w:rFonts w:ascii="Arial" w:hAnsi="Arial" w:cs="Arial"/>
              </w:rPr>
              <w:t xml:space="preserve">current strands of </w:t>
            </w:r>
            <w:r w:rsidR="00475DDD" w:rsidRPr="00475DDD">
              <w:rPr>
                <w:rFonts w:ascii="Arial" w:hAnsi="Arial" w:cs="Arial"/>
              </w:rPr>
              <w:t xml:space="preserve">work </w:t>
            </w:r>
            <w:r w:rsidR="00B81299">
              <w:rPr>
                <w:rFonts w:ascii="Arial" w:hAnsi="Arial" w:cs="Arial"/>
              </w:rPr>
              <w:t>that</w:t>
            </w:r>
            <w:r w:rsidR="00475DDD" w:rsidRPr="00475DDD">
              <w:rPr>
                <w:rFonts w:ascii="Arial" w:hAnsi="Arial" w:cs="Arial"/>
              </w:rPr>
              <w:t xml:space="preserve"> underpin the delivery of </w:t>
            </w:r>
            <w:r w:rsidR="00D80D34" w:rsidRPr="00475DDD">
              <w:rPr>
                <w:rFonts w:ascii="Arial" w:hAnsi="Arial" w:cs="Arial"/>
              </w:rPr>
              <w:t>Oxford City Council’s Strategic Plan</w:t>
            </w:r>
            <w:r w:rsidR="00081AFE">
              <w:rPr>
                <w:rFonts w:ascii="Arial" w:hAnsi="Arial" w:cs="Arial"/>
              </w:rPr>
              <w:t xml:space="preserve"> 2020-24</w:t>
            </w:r>
            <w:r w:rsidR="00A46F45" w:rsidRPr="00475DDD">
              <w:rPr>
                <w:rFonts w:ascii="Arial" w:hAnsi="Arial" w:cs="Arial"/>
              </w:rPr>
              <w:t xml:space="preserve">. </w:t>
            </w:r>
            <w:r w:rsidR="004D0AF1">
              <w:rPr>
                <w:rFonts w:ascii="Arial" w:hAnsi="Arial" w:cs="Arial"/>
              </w:rPr>
              <w:t>F</w:t>
            </w:r>
            <w:r w:rsidR="00C364AC">
              <w:rPr>
                <w:rFonts w:ascii="Arial" w:hAnsi="Arial" w:cs="Arial"/>
              </w:rPr>
              <w:t xml:space="preserve">or each key strand of work mentioned in the other strategic considerations box above, additional </w:t>
            </w:r>
            <w:r w:rsidR="009A6DC3">
              <w:rPr>
                <w:rFonts w:ascii="Arial" w:hAnsi="Arial" w:cs="Arial"/>
              </w:rPr>
              <w:t>consultations/</w:t>
            </w:r>
            <w:r w:rsidR="004D0AF1">
              <w:rPr>
                <w:rFonts w:ascii="Arial" w:hAnsi="Arial" w:cs="Arial"/>
              </w:rPr>
              <w:t xml:space="preserve">EIAs </w:t>
            </w:r>
            <w:r w:rsidR="00C364AC">
              <w:rPr>
                <w:rFonts w:ascii="Arial" w:hAnsi="Arial" w:cs="Arial"/>
              </w:rPr>
              <w:t>have been undertaken as part of</w:t>
            </w:r>
            <w:r w:rsidR="00A30C3C">
              <w:rPr>
                <w:rFonts w:ascii="Arial" w:hAnsi="Arial" w:cs="Arial"/>
              </w:rPr>
              <w:t xml:space="preserve"> the development of that work. </w:t>
            </w:r>
            <w:r w:rsidR="00C364AC">
              <w:rPr>
                <w:rFonts w:ascii="Arial" w:hAnsi="Arial" w:cs="Arial"/>
              </w:rPr>
              <w:t xml:space="preserve">As they have already been considered by Cabinet or are still in process, the </w:t>
            </w:r>
            <w:r w:rsidR="00521F70">
              <w:rPr>
                <w:rFonts w:ascii="Arial" w:hAnsi="Arial" w:cs="Arial"/>
              </w:rPr>
              <w:t xml:space="preserve">full </w:t>
            </w:r>
            <w:r w:rsidR="00C364AC">
              <w:rPr>
                <w:rFonts w:ascii="Arial" w:hAnsi="Arial" w:cs="Arial"/>
              </w:rPr>
              <w:t>information relating to those assessments will not be reproduced in this one. However, adopting the Equality, Diversity</w:t>
            </w:r>
            <w:r w:rsidR="00A30C3C">
              <w:rPr>
                <w:rFonts w:ascii="Arial" w:hAnsi="Arial" w:cs="Arial"/>
              </w:rPr>
              <w:t xml:space="preserve"> and </w:t>
            </w:r>
            <w:r w:rsidR="00C364AC">
              <w:rPr>
                <w:rFonts w:ascii="Arial" w:hAnsi="Arial" w:cs="Arial"/>
              </w:rPr>
              <w:t xml:space="preserve">Inclusion Strategy will create a framework </w:t>
            </w:r>
            <w:r w:rsidR="00B81299">
              <w:rPr>
                <w:rFonts w:ascii="Arial" w:hAnsi="Arial" w:cs="Arial"/>
              </w:rPr>
              <w:t>that</w:t>
            </w:r>
            <w:r w:rsidR="00C364AC">
              <w:rPr>
                <w:rFonts w:ascii="Arial" w:hAnsi="Arial" w:cs="Arial"/>
              </w:rPr>
              <w:t xml:space="preserve"> will enable better </w:t>
            </w:r>
            <w:r w:rsidR="00F36397">
              <w:rPr>
                <w:rFonts w:ascii="Arial" w:hAnsi="Arial" w:cs="Arial"/>
              </w:rPr>
              <w:t xml:space="preserve">signposting and </w:t>
            </w:r>
            <w:r w:rsidR="00C364AC">
              <w:rPr>
                <w:rFonts w:ascii="Arial" w:hAnsi="Arial" w:cs="Arial"/>
              </w:rPr>
              <w:t xml:space="preserve">connectivity and </w:t>
            </w:r>
            <w:r w:rsidR="00F36397">
              <w:rPr>
                <w:rFonts w:ascii="Arial" w:hAnsi="Arial" w:cs="Arial"/>
              </w:rPr>
              <w:t xml:space="preserve">the mechanism to share </w:t>
            </w:r>
            <w:r w:rsidR="00C364AC">
              <w:rPr>
                <w:rFonts w:ascii="Arial" w:hAnsi="Arial" w:cs="Arial"/>
              </w:rPr>
              <w:t xml:space="preserve">cross-Council learning </w:t>
            </w:r>
            <w:r w:rsidR="00B83B32">
              <w:rPr>
                <w:rFonts w:ascii="Arial" w:hAnsi="Arial" w:cs="Arial"/>
              </w:rPr>
              <w:t xml:space="preserve">by </w:t>
            </w:r>
            <w:r w:rsidR="00C364AC">
              <w:rPr>
                <w:rFonts w:ascii="Arial" w:hAnsi="Arial" w:cs="Arial"/>
              </w:rPr>
              <w:t>bring</w:t>
            </w:r>
            <w:r w:rsidR="00B83B32">
              <w:rPr>
                <w:rFonts w:ascii="Arial" w:hAnsi="Arial" w:cs="Arial"/>
              </w:rPr>
              <w:t>ing</w:t>
            </w:r>
            <w:r w:rsidR="00C364AC" w:rsidRPr="00475DDD">
              <w:rPr>
                <w:rFonts w:ascii="Arial" w:hAnsi="Arial" w:cs="Arial"/>
              </w:rPr>
              <w:t xml:space="preserve"> </w:t>
            </w:r>
            <w:r w:rsidR="00C364AC">
              <w:rPr>
                <w:rFonts w:ascii="Arial" w:hAnsi="Arial" w:cs="Arial"/>
              </w:rPr>
              <w:t xml:space="preserve">the </w:t>
            </w:r>
            <w:r w:rsidR="00B81299">
              <w:rPr>
                <w:rFonts w:ascii="Arial" w:hAnsi="Arial" w:cs="Arial"/>
              </w:rPr>
              <w:t>different key</w:t>
            </w:r>
            <w:r w:rsidR="00C364AC">
              <w:rPr>
                <w:rFonts w:ascii="Arial" w:hAnsi="Arial" w:cs="Arial"/>
              </w:rPr>
              <w:t xml:space="preserve"> </w:t>
            </w:r>
            <w:r w:rsidR="00C364AC" w:rsidRPr="00475DDD">
              <w:rPr>
                <w:rFonts w:ascii="Arial" w:hAnsi="Arial" w:cs="Arial"/>
              </w:rPr>
              <w:t xml:space="preserve">strands </w:t>
            </w:r>
            <w:r w:rsidR="00C364AC">
              <w:rPr>
                <w:rFonts w:ascii="Arial" w:hAnsi="Arial" w:cs="Arial"/>
              </w:rPr>
              <w:t xml:space="preserve">of the Council’s work </w:t>
            </w:r>
            <w:r w:rsidR="00C364AC" w:rsidRPr="00475DDD">
              <w:rPr>
                <w:rFonts w:ascii="Arial" w:hAnsi="Arial" w:cs="Arial"/>
              </w:rPr>
              <w:t>together from an equalities perspective</w:t>
            </w:r>
            <w:r w:rsidR="00C364AC">
              <w:rPr>
                <w:rFonts w:ascii="Arial" w:hAnsi="Arial" w:cs="Arial"/>
              </w:rPr>
              <w:t>.</w:t>
            </w:r>
          </w:p>
        </w:tc>
      </w:tr>
      <w:tr w:rsidR="001F515A" w:rsidRPr="001F515A" w14:paraId="7E88B983" w14:textId="77777777" w:rsidTr="00211C9A">
        <w:trPr>
          <w:jc w:val="center"/>
        </w:trPr>
        <w:tc>
          <w:tcPr>
            <w:tcW w:w="3539" w:type="dxa"/>
            <w:gridSpan w:val="3"/>
          </w:tcPr>
          <w:p w14:paraId="1324446A"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71616435" w14:textId="77777777" w:rsidR="001F515A" w:rsidRPr="001F515A" w:rsidRDefault="001F515A" w:rsidP="001F515A">
            <w:pPr>
              <w:rPr>
                <w:rFonts w:ascii="Arial" w:hAnsi="Arial" w:cs="Arial"/>
                <w:snapToGrid w:val="0"/>
                <w:color w:val="000000"/>
                <w:szCs w:val="20"/>
                <w:lang w:eastAsia="en-US"/>
              </w:rPr>
            </w:pPr>
          </w:p>
          <w:p w14:paraId="404E2CF4"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121F7578" w14:textId="77777777" w:rsidR="001F515A" w:rsidRPr="001F515A" w:rsidRDefault="001F515A" w:rsidP="001F515A">
            <w:pPr>
              <w:rPr>
                <w:rFonts w:ascii="Arial" w:hAnsi="Arial" w:cs="Arial"/>
                <w:szCs w:val="20"/>
                <w:lang w:eastAsia="en-US"/>
              </w:rPr>
            </w:pPr>
          </w:p>
        </w:tc>
        <w:tc>
          <w:tcPr>
            <w:tcW w:w="11595" w:type="dxa"/>
            <w:gridSpan w:val="8"/>
          </w:tcPr>
          <w:p w14:paraId="5BEA347D" w14:textId="11BAAF6A" w:rsidR="00767051" w:rsidRDefault="00767051" w:rsidP="005A374D">
            <w:pPr>
              <w:rPr>
                <w:rFonts w:ascii="Arial" w:hAnsi="Arial" w:cs="Arial"/>
              </w:rPr>
            </w:pPr>
            <w:r>
              <w:rPr>
                <w:rFonts w:ascii="Arial" w:hAnsi="Arial" w:cs="Arial"/>
              </w:rPr>
              <w:t>This Equalities Impact A</w:t>
            </w:r>
            <w:r w:rsidRPr="00475DDD">
              <w:rPr>
                <w:rFonts w:ascii="Arial" w:hAnsi="Arial" w:cs="Arial"/>
              </w:rPr>
              <w:t xml:space="preserve">ssessment has been undertaken in </w:t>
            </w:r>
            <w:r>
              <w:rPr>
                <w:rFonts w:ascii="Arial" w:hAnsi="Arial" w:cs="Arial"/>
              </w:rPr>
              <w:t xml:space="preserve">several </w:t>
            </w:r>
            <w:r w:rsidRPr="00475DDD">
              <w:rPr>
                <w:rFonts w:ascii="Arial" w:hAnsi="Arial" w:cs="Arial"/>
              </w:rPr>
              <w:t xml:space="preserve">stages – firstly </w:t>
            </w:r>
            <w:r>
              <w:rPr>
                <w:rFonts w:ascii="Arial" w:hAnsi="Arial" w:cs="Arial"/>
              </w:rPr>
              <w:t xml:space="preserve">as initial focus groups, </w:t>
            </w:r>
            <w:r w:rsidRPr="00475DDD">
              <w:rPr>
                <w:rFonts w:ascii="Arial" w:hAnsi="Arial" w:cs="Arial"/>
              </w:rPr>
              <w:t xml:space="preserve">to </w:t>
            </w:r>
            <w:r>
              <w:rPr>
                <w:rFonts w:ascii="Arial" w:hAnsi="Arial" w:cs="Arial"/>
              </w:rPr>
              <w:t xml:space="preserve">help </w:t>
            </w:r>
            <w:r w:rsidRPr="00475DDD">
              <w:rPr>
                <w:rFonts w:ascii="Arial" w:hAnsi="Arial" w:cs="Arial"/>
              </w:rPr>
              <w:t>inform the development of key areas of work</w:t>
            </w:r>
            <w:r>
              <w:rPr>
                <w:rFonts w:ascii="Arial" w:hAnsi="Arial" w:cs="Arial"/>
              </w:rPr>
              <w:t xml:space="preserve">; </w:t>
            </w:r>
            <w:r w:rsidRPr="00475DDD">
              <w:rPr>
                <w:rFonts w:ascii="Arial" w:hAnsi="Arial" w:cs="Arial"/>
              </w:rPr>
              <w:t>secondly</w:t>
            </w:r>
            <w:r w:rsidR="00A30C3C">
              <w:rPr>
                <w:rFonts w:ascii="Arial" w:hAnsi="Arial" w:cs="Arial"/>
              </w:rPr>
              <w:t>,</w:t>
            </w:r>
            <w:r w:rsidRPr="00475DDD">
              <w:rPr>
                <w:rFonts w:ascii="Arial" w:hAnsi="Arial" w:cs="Arial"/>
              </w:rPr>
              <w:t xml:space="preserve"> </w:t>
            </w:r>
            <w:r>
              <w:rPr>
                <w:rFonts w:ascii="Arial" w:hAnsi="Arial" w:cs="Arial"/>
              </w:rPr>
              <w:t xml:space="preserve">as a linked consultation process which embedded equalities within the 2021 council grant review; thirdly as a series of learning sessions which focussed on different aspects of the issues raised in the focus groups and consultations, and finally via </w:t>
            </w:r>
            <w:r w:rsidR="009749EA">
              <w:rPr>
                <w:rFonts w:ascii="Arial" w:hAnsi="Arial" w:cs="Arial"/>
              </w:rPr>
              <w:t xml:space="preserve">meetings of the </w:t>
            </w:r>
            <w:r>
              <w:rPr>
                <w:rFonts w:ascii="Arial" w:hAnsi="Arial" w:cs="Arial"/>
              </w:rPr>
              <w:t xml:space="preserve">Equalities Steering </w:t>
            </w:r>
            <w:r w:rsidR="009749EA">
              <w:rPr>
                <w:rFonts w:ascii="Arial" w:hAnsi="Arial" w:cs="Arial"/>
              </w:rPr>
              <w:t xml:space="preserve">Group </w:t>
            </w:r>
            <w:r>
              <w:rPr>
                <w:rFonts w:ascii="Arial" w:hAnsi="Arial" w:cs="Arial"/>
              </w:rPr>
              <w:t xml:space="preserve">which has overseen the drafting of the </w:t>
            </w:r>
            <w:r w:rsidRPr="00475DDD">
              <w:rPr>
                <w:rFonts w:ascii="Arial" w:hAnsi="Arial" w:cs="Arial"/>
              </w:rPr>
              <w:t>Equality, Diversity</w:t>
            </w:r>
            <w:r w:rsidR="00A30C3C">
              <w:rPr>
                <w:rFonts w:ascii="Arial" w:hAnsi="Arial" w:cs="Arial"/>
              </w:rPr>
              <w:t xml:space="preserve"> and  Inclusion </w:t>
            </w:r>
            <w:r w:rsidRPr="00475DDD">
              <w:rPr>
                <w:rFonts w:ascii="Arial" w:hAnsi="Arial" w:cs="Arial"/>
              </w:rPr>
              <w:t>Strategy</w:t>
            </w:r>
            <w:r>
              <w:rPr>
                <w:rFonts w:ascii="Arial" w:hAnsi="Arial" w:cs="Arial"/>
              </w:rPr>
              <w:t xml:space="preserve"> and Impact Assessment</w:t>
            </w:r>
            <w:r w:rsidRPr="00475DDD">
              <w:rPr>
                <w:rFonts w:ascii="Arial" w:hAnsi="Arial" w:cs="Arial"/>
              </w:rPr>
              <w:t>.</w:t>
            </w:r>
            <w:r>
              <w:rPr>
                <w:rFonts w:ascii="Arial" w:hAnsi="Arial" w:cs="Arial"/>
              </w:rPr>
              <w:t xml:space="preserve"> </w:t>
            </w:r>
          </w:p>
          <w:p w14:paraId="42EC8C95" w14:textId="77777777" w:rsidR="00C364AC" w:rsidRDefault="00C364AC" w:rsidP="005A374D">
            <w:pPr>
              <w:rPr>
                <w:rFonts w:ascii="Arial" w:hAnsi="Arial" w:cs="Arial"/>
              </w:rPr>
            </w:pPr>
          </w:p>
          <w:p w14:paraId="07D9FC8F" w14:textId="2C69101B" w:rsidR="00E21B8F" w:rsidRDefault="00E21B8F" w:rsidP="005A374D">
            <w:pPr>
              <w:rPr>
                <w:rFonts w:ascii="Arial" w:hAnsi="Arial" w:cs="Arial"/>
              </w:rPr>
            </w:pPr>
            <w:r w:rsidRPr="00E21B8F">
              <w:rPr>
                <w:rFonts w:ascii="Arial" w:hAnsi="Arial" w:cs="Arial"/>
              </w:rPr>
              <w:t xml:space="preserve">The initial scoping of the impact assessment was done via the following </w:t>
            </w:r>
            <w:r w:rsidR="007A6B36">
              <w:rPr>
                <w:rFonts w:ascii="Arial" w:hAnsi="Arial" w:cs="Arial"/>
              </w:rPr>
              <w:t xml:space="preserve">online </w:t>
            </w:r>
            <w:r w:rsidRPr="00E21B8F">
              <w:rPr>
                <w:rFonts w:ascii="Arial" w:hAnsi="Arial" w:cs="Arial"/>
              </w:rPr>
              <w:t>focus groups</w:t>
            </w:r>
            <w:r w:rsidR="00A7718B">
              <w:rPr>
                <w:rFonts w:ascii="Arial" w:hAnsi="Arial" w:cs="Arial"/>
              </w:rPr>
              <w:t>,</w:t>
            </w:r>
            <w:r w:rsidRPr="00E21B8F">
              <w:rPr>
                <w:rFonts w:ascii="Arial" w:hAnsi="Arial" w:cs="Arial"/>
              </w:rPr>
              <w:t xml:space="preserve"> which were attended by </w:t>
            </w:r>
            <w:r w:rsidR="00BD6B8E">
              <w:rPr>
                <w:rFonts w:ascii="Arial" w:hAnsi="Arial" w:cs="Arial"/>
              </w:rPr>
              <w:t xml:space="preserve">a cross-section of  </w:t>
            </w:r>
            <w:r w:rsidR="0085605D">
              <w:rPr>
                <w:rFonts w:ascii="Arial" w:hAnsi="Arial" w:cs="Arial"/>
              </w:rPr>
              <w:t>m</w:t>
            </w:r>
            <w:r w:rsidRPr="00E21B8F">
              <w:rPr>
                <w:rFonts w:ascii="Arial" w:hAnsi="Arial" w:cs="Arial"/>
              </w:rPr>
              <w:t>embers, officers</w:t>
            </w:r>
            <w:r w:rsidR="009F7705">
              <w:rPr>
                <w:rFonts w:ascii="Arial" w:hAnsi="Arial" w:cs="Arial"/>
              </w:rPr>
              <w:t>, equalities ambassadors</w:t>
            </w:r>
            <w:r w:rsidRPr="00E21B8F">
              <w:rPr>
                <w:rFonts w:ascii="Arial" w:hAnsi="Arial" w:cs="Arial"/>
              </w:rPr>
              <w:t xml:space="preserve"> and community leaders with relevant protected characteristics and lived experience:</w:t>
            </w:r>
          </w:p>
          <w:p w14:paraId="50BAB7EA" w14:textId="77777777" w:rsidR="00332CBE" w:rsidRDefault="00332CBE" w:rsidP="00332CBE">
            <w:pPr>
              <w:pStyle w:val="ListParagraph"/>
              <w:numPr>
                <w:ilvl w:val="0"/>
                <w:numId w:val="17"/>
              </w:numPr>
            </w:pPr>
            <w:r w:rsidRPr="00332CBE">
              <w:t>Black, Asian and Minority Ethnic and Race Advisory Group – 14</w:t>
            </w:r>
            <w:r w:rsidRPr="00332CBE">
              <w:rPr>
                <w:vertAlign w:val="superscript"/>
              </w:rPr>
              <w:t>th</w:t>
            </w:r>
            <w:r w:rsidRPr="00332CBE">
              <w:t xml:space="preserve"> September 2020</w:t>
            </w:r>
          </w:p>
          <w:p w14:paraId="262E6E2A" w14:textId="77777777" w:rsidR="00332CBE" w:rsidRDefault="00332CBE" w:rsidP="00332CBE">
            <w:pPr>
              <w:pStyle w:val="ListParagraph"/>
              <w:numPr>
                <w:ilvl w:val="0"/>
                <w:numId w:val="17"/>
              </w:numPr>
            </w:pPr>
            <w:r w:rsidRPr="00332CBE">
              <w:t>Black, Asian and Minority Ethnic</w:t>
            </w:r>
            <w:r w:rsidRPr="00DD4619">
              <w:t xml:space="preserve"> Women and Talent Development – 15</w:t>
            </w:r>
            <w:r w:rsidRPr="00DD4619">
              <w:rPr>
                <w:vertAlign w:val="superscript"/>
              </w:rPr>
              <w:t>th</w:t>
            </w:r>
            <w:r w:rsidRPr="00DD4619">
              <w:t xml:space="preserve"> September 2020</w:t>
            </w:r>
          </w:p>
          <w:p w14:paraId="5E451926" w14:textId="77777777" w:rsidR="00332CBE" w:rsidRDefault="00332CBE" w:rsidP="00332CBE">
            <w:pPr>
              <w:pStyle w:val="ListParagraph"/>
              <w:numPr>
                <w:ilvl w:val="0"/>
                <w:numId w:val="17"/>
              </w:numPr>
            </w:pPr>
            <w:r w:rsidRPr="00332CBE">
              <w:t>Black, Asian and Minority E</w:t>
            </w:r>
            <w:r>
              <w:t>thnicity and Faith – 16</w:t>
            </w:r>
            <w:r w:rsidRPr="00A86627">
              <w:rPr>
                <w:vertAlign w:val="superscript"/>
              </w:rPr>
              <w:t>th</w:t>
            </w:r>
            <w:r>
              <w:t xml:space="preserve"> September 2020</w:t>
            </w:r>
          </w:p>
          <w:p w14:paraId="1BE2A31E" w14:textId="77777777" w:rsidR="00332CBE" w:rsidRDefault="00332CBE" w:rsidP="00332CBE">
            <w:pPr>
              <w:pStyle w:val="ListParagraph"/>
              <w:numPr>
                <w:ilvl w:val="0"/>
                <w:numId w:val="17"/>
              </w:numPr>
            </w:pPr>
            <w:r>
              <w:t>Age, Mental Health and Shielding – 18</w:t>
            </w:r>
            <w:r w:rsidRPr="00A86627">
              <w:rPr>
                <w:vertAlign w:val="superscript"/>
              </w:rPr>
              <w:t>th</w:t>
            </w:r>
            <w:r>
              <w:t xml:space="preserve"> September 2020</w:t>
            </w:r>
          </w:p>
          <w:p w14:paraId="60988758" w14:textId="77777777" w:rsidR="00332CBE" w:rsidRDefault="00332CBE" w:rsidP="00332CBE">
            <w:pPr>
              <w:pStyle w:val="ListParagraph"/>
              <w:numPr>
                <w:ilvl w:val="0"/>
                <w:numId w:val="17"/>
              </w:numPr>
            </w:pPr>
            <w:r>
              <w:t>LGBTQIA+ – 25</w:t>
            </w:r>
            <w:r w:rsidRPr="00332CBE">
              <w:rPr>
                <w:vertAlign w:val="superscript"/>
              </w:rPr>
              <w:t xml:space="preserve">th </w:t>
            </w:r>
            <w:r>
              <w:t>September 2020</w:t>
            </w:r>
          </w:p>
          <w:p w14:paraId="568D25D1" w14:textId="77777777" w:rsidR="00332CBE" w:rsidRDefault="00332CBE" w:rsidP="00332CBE">
            <w:pPr>
              <w:pStyle w:val="ListParagraph"/>
              <w:numPr>
                <w:ilvl w:val="0"/>
                <w:numId w:val="17"/>
              </w:numPr>
            </w:pPr>
            <w:r>
              <w:t>Gender and Talent Development – 29</w:t>
            </w:r>
            <w:r w:rsidRPr="00550864">
              <w:rPr>
                <w:vertAlign w:val="superscript"/>
              </w:rPr>
              <w:t>th</w:t>
            </w:r>
            <w:r>
              <w:t xml:space="preserve"> September 2020</w:t>
            </w:r>
          </w:p>
          <w:p w14:paraId="7FF09D83" w14:textId="77777777" w:rsidR="00E21B8F" w:rsidRDefault="00332CBE" w:rsidP="00967B90">
            <w:pPr>
              <w:pStyle w:val="ListParagraph"/>
              <w:numPr>
                <w:ilvl w:val="0"/>
                <w:numId w:val="17"/>
              </w:numPr>
            </w:pPr>
            <w:r>
              <w:t>Young People and Mental H</w:t>
            </w:r>
            <w:r w:rsidRPr="00332CBE">
              <w:t>ealth – 1</w:t>
            </w:r>
            <w:r w:rsidRPr="00332CBE">
              <w:rPr>
                <w:vertAlign w:val="superscript"/>
              </w:rPr>
              <w:t>st</w:t>
            </w:r>
            <w:r w:rsidRPr="00332CBE">
              <w:t xml:space="preserve"> October 2020</w:t>
            </w:r>
          </w:p>
          <w:p w14:paraId="4CD79B95" w14:textId="77777777" w:rsidR="00332CBE" w:rsidRDefault="00332CBE" w:rsidP="00967B90">
            <w:pPr>
              <w:pStyle w:val="ListParagraph"/>
              <w:numPr>
                <w:ilvl w:val="0"/>
                <w:numId w:val="17"/>
              </w:numPr>
            </w:pPr>
            <w:r>
              <w:t>Disability, Race and Inclusive Governance – 2</w:t>
            </w:r>
            <w:r w:rsidRPr="006E63A2">
              <w:rPr>
                <w:vertAlign w:val="superscript"/>
              </w:rPr>
              <w:t>nd</w:t>
            </w:r>
            <w:r>
              <w:t xml:space="preserve"> October 2020</w:t>
            </w:r>
          </w:p>
          <w:p w14:paraId="067879AD" w14:textId="77777777" w:rsidR="00D53590" w:rsidRDefault="00D53590" w:rsidP="00967B90">
            <w:pPr>
              <w:pStyle w:val="ListParagraph"/>
              <w:numPr>
                <w:ilvl w:val="0"/>
                <w:numId w:val="17"/>
              </w:numPr>
            </w:pPr>
            <w:r>
              <w:t>Refugee, Asylum seekers – 6</w:t>
            </w:r>
            <w:r w:rsidRPr="006E63A2">
              <w:rPr>
                <w:vertAlign w:val="superscript"/>
              </w:rPr>
              <w:t>th</w:t>
            </w:r>
            <w:r>
              <w:t xml:space="preserve"> October 2020</w:t>
            </w:r>
          </w:p>
          <w:p w14:paraId="56E08D74" w14:textId="77777777" w:rsidR="00D53590" w:rsidRDefault="00D53590" w:rsidP="00967B90">
            <w:pPr>
              <w:pStyle w:val="ListParagraph"/>
              <w:numPr>
                <w:ilvl w:val="0"/>
                <w:numId w:val="17"/>
              </w:numPr>
            </w:pPr>
            <w:r>
              <w:t>Migrant Communities – 8</w:t>
            </w:r>
            <w:r w:rsidRPr="006E63A2">
              <w:rPr>
                <w:vertAlign w:val="superscript"/>
              </w:rPr>
              <w:t>th</w:t>
            </w:r>
            <w:r>
              <w:t xml:space="preserve"> October 2020</w:t>
            </w:r>
          </w:p>
          <w:p w14:paraId="7F9F9066" w14:textId="77777777" w:rsidR="00D53590" w:rsidRDefault="00D53590" w:rsidP="00967B90">
            <w:pPr>
              <w:pStyle w:val="ListParagraph"/>
              <w:numPr>
                <w:ilvl w:val="0"/>
                <w:numId w:val="17"/>
              </w:numPr>
            </w:pPr>
            <w:r>
              <w:t>Disability, Access and Talent Development – 9</w:t>
            </w:r>
            <w:r w:rsidRPr="006E63A2">
              <w:rPr>
                <w:vertAlign w:val="superscript"/>
              </w:rPr>
              <w:t>th</w:t>
            </w:r>
            <w:r>
              <w:t xml:space="preserve"> October 2020</w:t>
            </w:r>
          </w:p>
          <w:p w14:paraId="2773A386" w14:textId="77777777" w:rsidR="00F76BDA" w:rsidRDefault="00F76BDA" w:rsidP="00F76BDA"/>
          <w:p w14:paraId="1A5518EF" w14:textId="4CC64021" w:rsidR="00F76BDA" w:rsidRDefault="00F76BDA" w:rsidP="00F76BDA">
            <w:pPr>
              <w:rPr>
                <w:rFonts w:ascii="Arial" w:hAnsi="Arial" w:cs="Arial"/>
              </w:rPr>
            </w:pPr>
            <w:r>
              <w:rPr>
                <w:rFonts w:ascii="Arial" w:hAnsi="Arial" w:cs="Arial"/>
              </w:rPr>
              <w:t>Where relevant (e.g. to include those unable to make it or others identified at the focus groups), follow up sessions were held to ensure the sessions were in</w:t>
            </w:r>
            <w:r w:rsidR="00471B53">
              <w:rPr>
                <w:rFonts w:ascii="Arial" w:hAnsi="Arial" w:cs="Arial"/>
              </w:rPr>
              <w:t>clusive of diverse opinions, voices and perspectives</w:t>
            </w:r>
            <w:r>
              <w:rPr>
                <w:rFonts w:ascii="Arial" w:hAnsi="Arial" w:cs="Arial"/>
              </w:rPr>
              <w:t xml:space="preserve">. </w:t>
            </w:r>
          </w:p>
          <w:p w14:paraId="4DAA46B7" w14:textId="77777777" w:rsidR="002507C1" w:rsidRDefault="002507C1" w:rsidP="00F76BDA">
            <w:pPr>
              <w:rPr>
                <w:rFonts w:ascii="Arial" w:hAnsi="Arial" w:cs="Arial"/>
              </w:rPr>
            </w:pPr>
          </w:p>
          <w:p w14:paraId="1867B5AC" w14:textId="4A231D05" w:rsidR="002507C1" w:rsidRDefault="002507C1" w:rsidP="00F76BDA">
            <w:pPr>
              <w:rPr>
                <w:rFonts w:ascii="Arial" w:hAnsi="Arial" w:cs="Arial"/>
              </w:rPr>
            </w:pPr>
            <w:r>
              <w:rPr>
                <w:rFonts w:ascii="Arial" w:hAnsi="Arial" w:cs="Arial"/>
              </w:rPr>
              <w:t xml:space="preserve">A wide range of </w:t>
            </w:r>
            <w:r w:rsidR="00642568">
              <w:rPr>
                <w:rFonts w:ascii="Arial" w:hAnsi="Arial" w:cs="Arial"/>
              </w:rPr>
              <w:t xml:space="preserve">additional available information </w:t>
            </w:r>
            <w:r>
              <w:rPr>
                <w:rFonts w:ascii="Arial" w:hAnsi="Arial" w:cs="Arial"/>
              </w:rPr>
              <w:t>was also taken into consideration when drafting the Equality, Diversity</w:t>
            </w:r>
            <w:r w:rsidR="00A7718B">
              <w:rPr>
                <w:rFonts w:ascii="Arial" w:hAnsi="Arial" w:cs="Arial"/>
              </w:rPr>
              <w:t xml:space="preserve"> and </w:t>
            </w:r>
            <w:r>
              <w:rPr>
                <w:rFonts w:ascii="Arial" w:hAnsi="Arial" w:cs="Arial"/>
              </w:rPr>
              <w:t>Inclusion Strategy</w:t>
            </w:r>
            <w:r w:rsidR="00A7718B">
              <w:rPr>
                <w:rFonts w:ascii="Arial" w:hAnsi="Arial" w:cs="Arial"/>
              </w:rPr>
              <w:t>,</w:t>
            </w:r>
            <w:r>
              <w:rPr>
                <w:rFonts w:ascii="Arial" w:hAnsi="Arial" w:cs="Arial"/>
              </w:rPr>
              <w:t xml:space="preserve"> including:</w:t>
            </w:r>
          </w:p>
          <w:p w14:paraId="5DB13D22" w14:textId="77777777" w:rsidR="002507C1" w:rsidRDefault="002507C1" w:rsidP="00F76BDA">
            <w:pPr>
              <w:rPr>
                <w:rFonts w:ascii="Arial" w:hAnsi="Arial" w:cs="Arial"/>
              </w:rPr>
            </w:pPr>
          </w:p>
          <w:p w14:paraId="73831D49" w14:textId="559B9A26" w:rsidR="002507C1" w:rsidRDefault="002507C1" w:rsidP="002507C1">
            <w:pPr>
              <w:pStyle w:val="ListParagraph"/>
              <w:numPr>
                <w:ilvl w:val="0"/>
                <w:numId w:val="10"/>
              </w:numPr>
              <w:tabs>
                <w:tab w:val="left" w:pos="426"/>
              </w:tabs>
              <w:spacing w:after="120"/>
              <w:jc w:val="both"/>
              <w:rPr>
                <w:lang w:eastAsia="en-GB"/>
              </w:rPr>
            </w:pPr>
            <w:r w:rsidRPr="002507C1">
              <w:t>Oxford’s demographic statistics</w:t>
            </w:r>
            <w:r w:rsidR="00A7718B">
              <w:t>,</w:t>
            </w:r>
            <w:r w:rsidRPr="002507C1">
              <w:t xml:space="preserve"> including relating to protected characteristics</w:t>
            </w:r>
          </w:p>
          <w:p w14:paraId="080774DB" w14:textId="77777777" w:rsidR="00417A44" w:rsidRPr="002507C1" w:rsidRDefault="00417A44" w:rsidP="002507C1">
            <w:pPr>
              <w:pStyle w:val="ListParagraph"/>
              <w:numPr>
                <w:ilvl w:val="0"/>
                <w:numId w:val="10"/>
              </w:numPr>
              <w:tabs>
                <w:tab w:val="left" w:pos="426"/>
              </w:tabs>
              <w:spacing w:after="120"/>
              <w:jc w:val="both"/>
              <w:rPr>
                <w:lang w:eastAsia="en-GB"/>
              </w:rPr>
            </w:pPr>
            <w:r>
              <w:t xml:space="preserve">Oxford City Council staff demographic statistics relating to protected characteristics (where </w:t>
            </w:r>
            <w:r w:rsidR="00CF518E">
              <w:t>available</w:t>
            </w:r>
            <w:r>
              <w:t>)</w:t>
            </w:r>
          </w:p>
          <w:p w14:paraId="211AA870" w14:textId="4D758270" w:rsidR="002507C1" w:rsidRPr="002507C1" w:rsidRDefault="002507C1" w:rsidP="002507C1">
            <w:pPr>
              <w:pStyle w:val="ListParagraph"/>
              <w:numPr>
                <w:ilvl w:val="0"/>
                <w:numId w:val="10"/>
              </w:numPr>
              <w:tabs>
                <w:tab w:val="left" w:pos="426"/>
              </w:tabs>
              <w:spacing w:after="120"/>
              <w:jc w:val="both"/>
              <w:rPr>
                <w:lang w:eastAsia="en-GB"/>
              </w:rPr>
            </w:pPr>
            <w:r w:rsidRPr="002507C1">
              <w:t>Information coming into the Business Intelligence Unit, the Customer Services team and Asana system</w:t>
            </w:r>
            <w:r w:rsidR="00A7718B">
              <w:t>,</w:t>
            </w:r>
            <w:r w:rsidRPr="002507C1">
              <w:t xml:space="preserve"> including referrals and case studies for support throughout the pandemic as well as information from the Office for National Statistics, Public Health England, Joint Strategic Needs Assessment</w:t>
            </w:r>
            <w:r w:rsidR="000F578C">
              <w:t>, Institute of Fiscal Studies</w:t>
            </w:r>
            <w:r w:rsidRPr="002507C1">
              <w:t xml:space="preserve"> etc.</w:t>
            </w:r>
          </w:p>
          <w:p w14:paraId="16BC90FB" w14:textId="41E820AB" w:rsidR="002507C1" w:rsidRPr="002507C1" w:rsidRDefault="002507C1" w:rsidP="002507C1">
            <w:pPr>
              <w:pStyle w:val="ListParagraph"/>
              <w:numPr>
                <w:ilvl w:val="0"/>
                <w:numId w:val="10"/>
              </w:numPr>
              <w:tabs>
                <w:tab w:val="left" w:pos="426"/>
              </w:tabs>
              <w:spacing w:after="120"/>
              <w:jc w:val="both"/>
              <w:rPr>
                <w:lang w:eastAsia="en-GB"/>
              </w:rPr>
            </w:pPr>
            <w:r w:rsidRPr="002507C1">
              <w:lastRenderedPageBreak/>
              <w:t>Internal individual consultations with over 50 diverse staff members across the Council which were held in order to embed equalities within the grant review</w:t>
            </w:r>
          </w:p>
          <w:p w14:paraId="5B129AD0" w14:textId="013A0B94" w:rsidR="002507C1" w:rsidRPr="002507C1" w:rsidRDefault="002507C1" w:rsidP="002507C1">
            <w:pPr>
              <w:pStyle w:val="ListParagraph"/>
              <w:numPr>
                <w:ilvl w:val="0"/>
                <w:numId w:val="10"/>
              </w:numPr>
              <w:tabs>
                <w:tab w:val="left" w:pos="426"/>
              </w:tabs>
              <w:spacing w:after="120"/>
              <w:jc w:val="both"/>
              <w:rPr>
                <w:lang w:eastAsia="en-GB"/>
              </w:rPr>
            </w:pPr>
            <w:r w:rsidRPr="002507C1">
              <w:t>Outreach to over 50 third sector organisations</w:t>
            </w:r>
            <w:r w:rsidR="00A30C3C">
              <w:t>,</w:t>
            </w:r>
            <w:r w:rsidRPr="002507C1">
              <w:t xml:space="preserve"> including equalities-focused organisations, Oxford City Council grantees and unsuccessful grant applicants as part of </w:t>
            </w:r>
            <w:r w:rsidR="009E4455">
              <w:t xml:space="preserve">embedding equalities within </w:t>
            </w:r>
            <w:r w:rsidRPr="002507C1">
              <w:t>the grant review</w:t>
            </w:r>
          </w:p>
          <w:p w14:paraId="73CA0F27" w14:textId="70653A8D" w:rsidR="002507C1" w:rsidRPr="002507C1" w:rsidRDefault="00A30C3C" w:rsidP="002507C1">
            <w:pPr>
              <w:pStyle w:val="ListParagraph"/>
              <w:numPr>
                <w:ilvl w:val="0"/>
                <w:numId w:val="10"/>
              </w:numPr>
              <w:tabs>
                <w:tab w:val="left" w:pos="426"/>
              </w:tabs>
              <w:spacing w:after="120"/>
              <w:jc w:val="both"/>
              <w:rPr>
                <w:lang w:eastAsia="en-GB"/>
              </w:rPr>
            </w:pPr>
            <w:r>
              <w:t>Ten</w:t>
            </w:r>
            <w:r w:rsidR="002507C1" w:rsidRPr="002507C1">
              <w:t xml:space="preserve"> group discussions attended by people with lived experience of different protected characteristics, homelessness and intersectionality</w:t>
            </w:r>
            <w:r>
              <w:t>,</w:t>
            </w:r>
            <w:r w:rsidR="002507C1" w:rsidRPr="002507C1">
              <w:t xml:space="preserve"> as well as </w:t>
            </w:r>
            <w:r>
              <w:t xml:space="preserve">ten </w:t>
            </w:r>
            <w:r w:rsidR="002507C1" w:rsidRPr="002507C1">
              <w:t xml:space="preserve">open group sessions as part of </w:t>
            </w:r>
            <w:r w:rsidR="009E4455">
              <w:t xml:space="preserve">embedding equalities within </w:t>
            </w:r>
            <w:r w:rsidR="002507C1" w:rsidRPr="002507C1">
              <w:t>the grant review</w:t>
            </w:r>
          </w:p>
          <w:p w14:paraId="0118F72A" w14:textId="77777777" w:rsidR="002507C1" w:rsidRPr="002507C1" w:rsidRDefault="002507C1" w:rsidP="002507C1">
            <w:pPr>
              <w:pStyle w:val="ListParagraph"/>
              <w:numPr>
                <w:ilvl w:val="0"/>
                <w:numId w:val="10"/>
              </w:numPr>
              <w:tabs>
                <w:tab w:val="left" w:pos="426"/>
              </w:tabs>
              <w:spacing w:after="120"/>
              <w:jc w:val="both"/>
              <w:rPr>
                <w:lang w:eastAsia="en-GB"/>
              </w:rPr>
            </w:pPr>
            <w:r w:rsidRPr="002507C1">
              <w:t>Public consultation via OCC public consultation portal as part of the grant review with 35 responses</w:t>
            </w:r>
          </w:p>
          <w:p w14:paraId="5692D4A6" w14:textId="2E87F72A" w:rsidR="00F94CD0" w:rsidRDefault="002507C1" w:rsidP="00F94CD0">
            <w:pPr>
              <w:tabs>
                <w:tab w:val="left" w:pos="426"/>
              </w:tabs>
              <w:spacing w:after="120"/>
              <w:jc w:val="both"/>
              <w:rPr>
                <w:rFonts w:ascii="Arial" w:hAnsi="Arial" w:cs="Arial"/>
              </w:rPr>
            </w:pPr>
            <w:r>
              <w:rPr>
                <w:rFonts w:ascii="Arial" w:hAnsi="Arial" w:cs="Arial"/>
              </w:rPr>
              <w:t>Weekly learning sessions were held to focus on particula</w:t>
            </w:r>
            <w:r w:rsidR="00EB6594">
              <w:rPr>
                <w:rFonts w:ascii="Arial" w:hAnsi="Arial" w:cs="Arial"/>
              </w:rPr>
              <w:t xml:space="preserve">r aspects of equalities </w:t>
            </w:r>
            <w:r>
              <w:rPr>
                <w:rFonts w:ascii="Arial" w:hAnsi="Arial" w:cs="Arial"/>
              </w:rPr>
              <w:t>including</w:t>
            </w:r>
            <w:r w:rsidR="00F94CD0">
              <w:rPr>
                <w:rFonts w:ascii="Arial" w:hAnsi="Arial" w:cs="Arial"/>
              </w:rPr>
              <w:t xml:space="preserve">: </w:t>
            </w:r>
          </w:p>
          <w:p w14:paraId="211D75DA" w14:textId="6AC32CF8" w:rsidR="008043C1" w:rsidRPr="00332CBE" w:rsidRDefault="008244AA" w:rsidP="00A60424">
            <w:pPr>
              <w:tabs>
                <w:tab w:val="left" w:pos="426"/>
              </w:tabs>
              <w:spacing w:after="120"/>
              <w:jc w:val="both"/>
            </w:pPr>
            <w:r>
              <w:rPr>
                <w:rFonts w:ascii="Arial" w:hAnsi="Arial" w:cs="Arial"/>
              </w:rPr>
              <w:t>Anti-racism; Dyslexia and Neuro-diverse learning; Food Poverty; The Toll of the Pandemic on Children and Young People; Health Impact Assessments; Life Chances; Local Insights and Intelligence; Owned by Oxford – Mapping Community Wealth; Census 2021; a wide range of case studies</w:t>
            </w:r>
          </w:p>
          <w:p w14:paraId="023EEEA9" w14:textId="590B2F67" w:rsidR="00E21B8F" w:rsidRDefault="002507C1" w:rsidP="005A374D">
            <w:pPr>
              <w:rPr>
                <w:rFonts w:ascii="Arial" w:hAnsi="Arial" w:cs="Arial"/>
              </w:rPr>
            </w:pPr>
            <w:r>
              <w:rPr>
                <w:rFonts w:ascii="Arial" w:hAnsi="Arial" w:cs="Arial"/>
              </w:rPr>
              <w:t>Learning sessions are attended by locality hub staff and officers from a range of service areas</w:t>
            </w:r>
            <w:r w:rsidR="00B81299">
              <w:rPr>
                <w:rFonts w:ascii="Arial" w:hAnsi="Arial" w:cs="Arial"/>
              </w:rPr>
              <w:t xml:space="preserve">, partners such as social landlords, community groups - </w:t>
            </w:r>
            <w:r>
              <w:rPr>
                <w:rFonts w:ascii="Arial" w:hAnsi="Arial" w:cs="Arial"/>
              </w:rPr>
              <w:t xml:space="preserve"> </w:t>
            </w:r>
            <w:r w:rsidR="00B81299">
              <w:rPr>
                <w:rFonts w:ascii="Arial" w:hAnsi="Arial" w:cs="Arial"/>
              </w:rPr>
              <w:t xml:space="preserve">alongside </w:t>
            </w:r>
            <w:r>
              <w:rPr>
                <w:rFonts w:ascii="Arial" w:hAnsi="Arial" w:cs="Arial"/>
              </w:rPr>
              <w:t>speakers. The invite list includes over 1</w:t>
            </w:r>
            <w:r w:rsidR="00A7718B">
              <w:rPr>
                <w:rFonts w:ascii="Arial" w:hAnsi="Arial" w:cs="Arial"/>
              </w:rPr>
              <w:t>2</w:t>
            </w:r>
            <w:r>
              <w:rPr>
                <w:rFonts w:ascii="Arial" w:hAnsi="Arial" w:cs="Arial"/>
              </w:rPr>
              <w:t>0 people who self-select the sessions they attend according to their expertise, area of interest and CPD.</w:t>
            </w:r>
          </w:p>
          <w:p w14:paraId="4356814B" w14:textId="77777777" w:rsidR="00E21B8F" w:rsidRDefault="00E21B8F" w:rsidP="005A374D">
            <w:pPr>
              <w:rPr>
                <w:rFonts w:ascii="Calibri" w:hAnsi="Calibri" w:cs="Calibri"/>
                <w:color w:val="000000"/>
              </w:rPr>
            </w:pPr>
          </w:p>
          <w:p w14:paraId="68AAE10E" w14:textId="0E88BF68" w:rsidR="009749EA" w:rsidRPr="00860496" w:rsidRDefault="00B94F7E" w:rsidP="00A30C3C">
            <w:pPr>
              <w:rPr>
                <w:rFonts w:ascii="Calibri" w:hAnsi="Calibri" w:cs="Calibri"/>
                <w:color w:val="000000"/>
              </w:rPr>
            </w:pPr>
            <w:r>
              <w:rPr>
                <w:rFonts w:ascii="Arial" w:hAnsi="Arial" w:cs="Arial"/>
              </w:rPr>
              <w:t xml:space="preserve">The </w:t>
            </w:r>
            <w:r w:rsidR="009749EA">
              <w:rPr>
                <w:rFonts w:ascii="Arial" w:hAnsi="Arial" w:cs="Arial"/>
              </w:rPr>
              <w:t xml:space="preserve">Equalities Steering group has overseen the drafting of the </w:t>
            </w:r>
            <w:r w:rsidR="009749EA" w:rsidRPr="00475DDD">
              <w:rPr>
                <w:rFonts w:ascii="Arial" w:hAnsi="Arial" w:cs="Arial"/>
              </w:rPr>
              <w:t>Equality, Diversity</w:t>
            </w:r>
            <w:r w:rsidR="00A30C3C">
              <w:rPr>
                <w:rFonts w:ascii="Arial" w:hAnsi="Arial" w:cs="Arial"/>
              </w:rPr>
              <w:t xml:space="preserve"> and </w:t>
            </w:r>
            <w:r w:rsidR="009749EA" w:rsidRPr="00475DDD">
              <w:rPr>
                <w:rFonts w:ascii="Arial" w:hAnsi="Arial" w:cs="Arial"/>
              </w:rPr>
              <w:t>Inclusion Strategy</w:t>
            </w:r>
            <w:r w:rsidR="009749EA">
              <w:rPr>
                <w:rFonts w:ascii="Arial" w:hAnsi="Arial" w:cs="Arial"/>
              </w:rPr>
              <w:t xml:space="preserve"> and Impact Assessment</w:t>
            </w:r>
            <w:r w:rsidR="009749EA" w:rsidRPr="00475DDD">
              <w:rPr>
                <w:rFonts w:ascii="Arial" w:hAnsi="Arial" w:cs="Arial"/>
              </w:rPr>
              <w:t>.</w:t>
            </w:r>
            <w:r w:rsidR="009749EA">
              <w:rPr>
                <w:rFonts w:ascii="Arial" w:hAnsi="Arial" w:cs="Arial"/>
              </w:rPr>
              <w:t xml:space="preserve">  </w:t>
            </w:r>
          </w:p>
        </w:tc>
      </w:tr>
      <w:tr w:rsidR="001F515A" w:rsidRPr="001F515A" w14:paraId="4F369C82" w14:textId="77777777" w:rsidTr="00211C9A">
        <w:trPr>
          <w:jc w:val="center"/>
        </w:trPr>
        <w:tc>
          <w:tcPr>
            <w:tcW w:w="3539" w:type="dxa"/>
            <w:gridSpan w:val="3"/>
          </w:tcPr>
          <w:p w14:paraId="5E41D837" w14:textId="77777777" w:rsidR="001F515A" w:rsidRPr="001F515A" w:rsidRDefault="001F515A" w:rsidP="001F515A">
            <w:pPr>
              <w:rPr>
                <w:rFonts w:ascii="Arial" w:hAnsi="Arial" w:cs="Arial"/>
                <w:bCs/>
                <w:szCs w:val="20"/>
                <w:lang w:eastAsia="en-US"/>
              </w:rPr>
            </w:pPr>
            <w:r w:rsidRPr="001F515A">
              <w:rPr>
                <w:rFonts w:ascii="Arial" w:hAnsi="Arial" w:cs="Arial"/>
                <w:b/>
                <w:szCs w:val="20"/>
                <w:lang w:eastAsia="en-US"/>
              </w:rPr>
              <w:lastRenderedPageBreak/>
              <w:t>4. Consultation</w:t>
            </w:r>
          </w:p>
          <w:p w14:paraId="1F10991D" w14:textId="77777777" w:rsidR="001F515A" w:rsidRPr="001F515A" w:rsidRDefault="001F515A" w:rsidP="001F515A">
            <w:pPr>
              <w:rPr>
                <w:rFonts w:ascii="Arial" w:hAnsi="Arial" w:cs="Arial"/>
                <w:bCs/>
                <w:szCs w:val="20"/>
                <w:lang w:eastAsia="en-US"/>
              </w:rPr>
            </w:pPr>
          </w:p>
          <w:p w14:paraId="5ACEACEC"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45CCCD33"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5CE8F3D8"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00F94CD0">
              <w:rPr>
                <w:rFonts w:ascii="Arial" w:hAnsi="Arial"/>
                <w:szCs w:val="20"/>
                <w:lang w:eastAsia="en-US"/>
              </w:rPr>
              <w:t xml:space="preserve">Details about how you </w:t>
            </w:r>
            <w:r w:rsidR="00F94CD0">
              <w:rPr>
                <w:rFonts w:ascii="Arial" w:hAnsi="Arial"/>
                <w:szCs w:val="20"/>
                <w:lang w:eastAsia="en-US"/>
              </w:rPr>
              <w:tab/>
            </w:r>
            <w:r w:rsidRPr="001F515A">
              <w:rPr>
                <w:rFonts w:ascii="Arial" w:hAnsi="Arial"/>
                <w:szCs w:val="20"/>
                <w:lang w:eastAsia="en-US"/>
              </w:rPr>
              <w:t xml:space="preserve">went about it. </w:t>
            </w:r>
          </w:p>
          <w:p w14:paraId="6FDF88E5"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6D93BAD1"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5772C70E" w14:textId="77777777" w:rsidR="001F515A" w:rsidRPr="00F94CD0" w:rsidRDefault="001F515A" w:rsidP="00F94CD0">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1595" w:type="dxa"/>
            <w:gridSpan w:val="8"/>
          </w:tcPr>
          <w:p w14:paraId="694B49E9" w14:textId="43D16492" w:rsidR="00FF14CF" w:rsidRPr="00F94CD0" w:rsidRDefault="00607E08" w:rsidP="00607E08">
            <w:pPr>
              <w:rPr>
                <w:rFonts w:ascii="Arial" w:hAnsi="Arial" w:cs="Arial"/>
                <w:szCs w:val="20"/>
                <w:lang w:eastAsia="en-US"/>
              </w:rPr>
            </w:pPr>
            <w:r w:rsidRPr="00F94CD0">
              <w:rPr>
                <w:rFonts w:ascii="Arial" w:hAnsi="Arial" w:cs="Arial"/>
                <w:szCs w:val="20"/>
                <w:lang w:eastAsia="en-US"/>
              </w:rPr>
              <w:lastRenderedPageBreak/>
              <w:t xml:space="preserve">The </w:t>
            </w:r>
            <w:r w:rsidR="00F94CD0" w:rsidRPr="00F94CD0">
              <w:rPr>
                <w:rFonts w:ascii="Arial" w:hAnsi="Arial" w:cs="Arial"/>
                <w:szCs w:val="20"/>
                <w:lang w:eastAsia="en-US"/>
              </w:rPr>
              <w:t xml:space="preserve">focus groups and </w:t>
            </w:r>
            <w:r w:rsidRPr="00F94CD0">
              <w:rPr>
                <w:rFonts w:ascii="Arial" w:hAnsi="Arial" w:cs="Arial"/>
                <w:szCs w:val="20"/>
                <w:lang w:eastAsia="en-US"/>
              </w:rPr>
              <w:t xml:space="preserve">consultations were carried out to inform the </w:t>
            </w:r>
            <w:r w:rsidR="00F94CD0" w:rsidRPr="00F94CD0">
              <w:rPr>
                <w:rFonts w:ascii="Arial" w:hAnsi="Arial" w:cs="Arial"/>
                <w:szCs w:val="20"/>
                <w:lang w:eastAsia="en-US"/>
              </w:rPr>
              <w:t>development of the Equality, Diversity</w:t>
            </w:r>
            <w:r w:rsidR="00A7718B">
              <w:rPr>
                <w:rFonts w:ascii="Arial" w:hAnsi="Arial" w:cs="Arial"/>
                <w:szCs w:val="20"/>
                <w:lang w:eastAsia="en-US"/>
              </w:rPr>
              <w:t xml:space="preserve"> and </w:t>
            </w:r>
            <w:r w:rsidR="00F94CD0" w:rsidRPr="00F94CD0">
              <w:rPr>
                <w:rFonts w:ascii="Arial" w:hAnsi="Arial" w:cs="Arial"/>
                <w:szCs w:val="20"/>
                <w:lang w:eastAsia="en-US"/>
              </w:rPr>
              <w:t>Inclusion Strategy</w:t>
            </w:r>
            <w:r w:rsidR="00A7718B">
              <w:rPr>
                <w:rFonts w:ascii="Arial" w:hAnsi="Arial" w:cs="Arial"/>
                <w:szCs w:val="20"/>
                <w:lang w:eastAsia="en-US"/>
              </w:rPr>
              <w:t>,</w:t>
            </w:r>
            <w:r w:rsidR="00677749" w:rsidRPr="00F94CD0">
              <w:rPr>
                <w:rFonts w:ascii="Arial" w:hAnsi="Arial" w:cs="Arial"/>
                <w:szCs w:val="20"/>
                <w:lang w:eastAsia="en-US"/>
              </w:rPr>
              <w:t xml:space="preserve"> but </w:t>
            </w:r>
            <w:r w:rsidR="008924B3" w:rsidRPr="00F94CD0">
              <w:rPr>
                <w:rFonts w:ascii="Arial" w:hAnsi="Arial" w:cs="Arial"/>
                <w:szCs w:val="20"/>
                <w:lang w:eastAsia="en-US"/>
              </w:rPr>
              <w:t xml:space="preserve">consultees </w:t>
            </w:r>
            <w:r w:rsidR="00677749" w:rsidRPr="00F94CD0">
              <w:rPr>
                <w:rFonts w:ascii="Arial" w:hAnsi="Arial" w:cs="Arial"/>
                <w:szCs w:val="20"/>
                <w:lang w:eastAsia="en-US"/>
              </w:rPr>
              <w:t xml:space="preserve">also inputted into the consultation plan itself. As a result, more consultations were held than were initially planned as consultees made suggestions for additional </w:t>
            </w:r>
            <w:r w:rsidR="008924B3" w:rsidRPr="00F94CD0">
              <w:rPr>
                <w:rFonts w:ascii="Arial" w:hAnsi="Arial" w:cs="Arial"/>
                <w:szCs w:val="20"/>
                <w:lang w:eastAsia="en-US"/>
              </w:rPr>
              <w:t xml:space="preserve">people and organisations </w:t>
            </w:r>
            <w:r w:rsidR="00EB6594">
              <w:rPr>
                <w:rFonts w:ascii="Arial" w:hAnsi="Arial" w:cs="Arial"/>
                <w:szCs w:val="20"/>
                <w:lang w:eastAsia="en-US"/>
              </w:rPr>
              <w:t>to be consulted</w:t>
            </w:r>
            <w:r w:rsidR="00677749" w:rsidRPr="00F94CD0">
              <w:rPr>
                <w:rFonts w:ascii="Arial" w:hAnsi="Arial" w:cs="Arial"/>
                <w:szCs w:val="20"/>
                <w:lang w:eastAsia="en-US"/>
              </w:rPr>
              <w:t xml:space="preserve">.  </w:t>
            </w:r>
          </w:p>
          <w:p w14:paraId="085F6A15" w14:textId="77777777" w:rsidR="00F94CD0" w:rsidRPr="00F94CD0" w:rsidRDefault="00F94CD0" w:rsidP="00607E08">
            <w:pPr>
              <w:rPr>
                <w:rFonts w:ascii="Arial" w:hAnsi="Arial" w:cs="Arial"/>
                <w:szCs w:val="20"/>
                <w:lang w:eastAsia="en-US"/>
              </w:rPr>
            </w:pPr>
          </w:p>
          <w:p w14:paraId="630FB9AB" w14:textId="14DDA8D7" w:rsidR="00607E08" w:rsidRDefault="00607E08" w:rsidP="00607E08">
            <w:pPr>
              <w:rPr>
                <w:rFonts w:ascii="Arial" w:hAnsi="Arial" w:cs="Arial"/>
                <w:szCs w:val="20"/>
                <w:lang w:eastAsia="en-US"/>
              </w:rPr>
            </w:pPr>
            <w:r w:rsidRPr="00F94CD0">
              <w:rPr>
                <w:rFonts w:ascii="Arial" w:hAnsi="Arial" w:cs="Arial"/>
                <w:szCs w:val="20"/>
                <w:lang w:eastAsia="en-US"/>
              </w:rPr>
              <w:t>Details of how each element of the consultation was delivered are as follows:</w:t>
            </w:r>
          </w:p>
          <w:p w14:paraId="6468B79C" w14:textId="77777777" w:rsidR="00A7718B" w:rsidRDefault="00A7718B" w:rsidP="00607E08">
            <w:pPr>
              <w:rPr>
                <w:rFonts w:ascii="Arial" w:hAnsi="Arial" w:cs="Arial"/>
                <w:szCs w:val="20"/>
                <w:lang w:eastAsia="en-US"/>
              </w:rPr>
            </w:pPr>
          </w:p>
          <w:p w14:paraId="6D52D339" w14:textId="77777777" w:rsidR="00F94CD0" w:rsidRPr="00F94CD0" w:rsidRDefault="00F94CD0" w:rsidP="00F94CD0">
            <w:pPr>
              <w:pStyle w:val="ListParagraph"/>
              <w:numPr>
                <w:ilvl w:val="0"/>
                <w:numId w:val="10"/>
              </w:numPr>
              <w:tabs>
                <w:tab w:val="left" w:pos="426"/>
              </w:tabs>
              <w:spacing w:after="120"/>
              <w:jc w:val="both"/>
              <w:rPr>
                <w:lang w:eastAsia="en-GB"/>
              </w:rPr>
            </w:pPr>
            <w:r>
              <w:rPr>
                <w:b/>
              </w:rPr>
              <w:t>Focus Groups</w:t>
            </w:r>
          </w:p>
          <w:p w14:paraId="1D7E2673" w14:textId="19A16D29" w:rsidR="00457E6E" w:rsidRDefault="00F94CD0" w:rsidP="00B55833">
            <w:pPr>
              <w:pStyle w:val="ListParagraph"/>
              <w:tabs>
                <w:tab w:val="left" w:pos="426"/>
              </w:tabs>
              <w:spacing w:after="120"/>
              <w:jc w:val="both"/>
            </w:pPr>
            <w:r>
              <w:t>The focus groups detailed above were led by senior officers with relevant</w:t>
            </w:r>
            <w:r w:rsidR="00B55833">
              <w:t xml:space="preserve"> characteristics and</w:t>
            </w:r>
            <w:r>
              <w:t xml:space="preserve"> lived experience of the equality discussion topic.</w:t>
            </w:r>
            <w:r w:rsidR="00B55833">
              <w:t xml:space="preserve"> </w:t>
            </w:r>
            <w:r w:rsidR="00A7718B">
              <w:t>In addition, t</w:t>
            </w:r>
            <w:r w:rsidR="00B55833">
              <w:t xml:space="preserve">he focus groups </w:t>
            </w:r>
            <w:r w:rsidR="00B55833" w:rsidRPr="00E21B8F">
              <w:t xml:space="preserve">were attended by </w:t>
            </w:r>
            <w:r w:rsidR="00B55833">
              <w:t>an appropriate cross-section of m</w:t>
            </w:r>
            <w:r w:rsidR="00B55833" w:rsidRPr="00E21B8F">
              <w:t>embers, officers</w:t>
            </w:r>
            <w:r w:rsidR="00B55833">
              <w:t>, equalities ambassadors</w:t>
            </w:r>
            <w:r w:rsidR="00B55833" w:rsidRPr="00E21B8F">
              <w:t xml:space="preserve"> and community leaders</w:t>
            </w:r>
            <w:r w:rsidR="00B55833">
              <w:t>.</w:t>
            </w:r>
          </w:p>
          <w:p w14:paraId="0B95BD42" w14:textId="77777777" w:rsidR="00B55833" w:rsidRDefault="00B55833" w:rsidP="00B55833">
            <w:pPr>
              <w:pStyle w:val="ListParagraph"/>
              <w:tabs>
                <w:tab w:val="left" w:pos="426"/>
              </w:tabs>
              <w:spacing w:after="120"/>
              <w:jc w:val="both"/>
            </w:pPr>
          </w:p>
          <w:p w14:paraId="2F23BB78" w14:textId="77777777" w:rsidR="00A30C3C" w:rsidRDefault="00A30C3C" w:rsidP="00B55833">
            <w:pPr>
              <w:pStyle w:val="ListParagraph"/>
              <w:tabs>
                <w:tab w:val="left" w:pos="426"/>
              </w:tabs>
              <w:spacing w:after="120"/>
              <w:jc w:val="both"/>
            </w:pPr>
          </w:p>
          <w:p w14:paraId="08DBB766" w14:textId="77777777" w:rsidR="00A30C3C" w:rsidRPr="00F94CD0" w:rsidRDefault="00A30C3C" w:rsidP="00B55833">
            <w:pPr>
              <w:pStyle w:val="ListParagraph"/>
              <w:tabs>
                <w:tab w:val="left" w:pos="426"/>
              </w:tabs>
              <w:spacing w:after="120"/>
              <w:jc w:val="both"/>
            </w:pPr>
          </w:p>
          <w:p w14:paraId="0A8A384A" w14:textId="77777777" w:rsidR="00677749" w:rsidRPr="00F94CD0" w:rsidRDefault="00607E08" w:rsidP="00967B90">
            <w:pPr>
              <w:pStyle w:val="ListParagraph"/>
              <w:numPr>
                <w:ilvl w:val="0"/>
                <w:numId w:val="10"/>
              </w:numPr>
              <w:tabs>
                <w:tab w:val="left" w:pos="426"/>
              </w:tabs>
              <w:spacing w:after="120"/>
              <w:jc w:val="both"/>
              <w:rPr>
                <w:lang w:eastAsia="en-GB"/>
              </w:rPr>
            </w:pPr>
            <w:r w:rsidRPr="00F94CD0">
              <w:rPr>
                <w:b/>
              </w:rPr>
              <w:lastRenderedPageBreak/>
              <w:t xml:space="preserve">Analysis of </w:t>
            </w:r>
            <w:r w:rsidR="00677749" w:rsidRPr="00F94CD0">
              <w:rPr>
                <w:b/>
              </w:rPr>
              <w:t>data</w:t>
            </w:r>
          </w:p>
          <w:p w14:paraId="739E21E8" w14:textId="60E5903D" w:rsidR="008924B3" w:rsidRPr="00F94CD0" w:rsidRDefault="00F623A7" w:rsidP="008924B3">
            <w:pPr>
              <w:pStyle w:val="ListParagraph"/>
              <w:tabs>
                <w:tab w:val="left" w:pos="426"/>
              </w:tabs>
              <w:spacing w:after="120"/>
              <w:jc w:val="both"/>
              <w:rPr>
                <w:lang w:eastAsia="en-GB"/>
              </w:rPr>
            </w:pPr>
            <w:r w:rsidRPr="00F94CD0">
              <w:rPr>
                <w:lang w:eastAsia="en-GB"/>
              </w:rPr>
              <w:t>Undertaken as a desktop exercise linking in with Sally Hicks, Data Analyst</w:t>
            </w:r>
            <w:r w:rsidR="00677749" w:rsidRPr="00F94CD0">
              <w:rPr>
                <w:lang w:eastAsia="en-GB"/>
              </w:rPr>
              <w:t xml:space="preserve"> and Mark Chandler, Performance and Resources Manager, to access information</w:t>
            </w:r>
            <w:r w:rsidRPr="00F94CD0">
              <w:rPr>
                <w:lang w:eastAsia="en-GB"/>
              </w:rPr>
              <w:t xml:space="preserve"> held by/accessible to OCC </w:t>
            </w:r>
            <w:r w:rsidR="00677749" w:rsidRPr="00F94CD0">
              <w:rPr>
                <w:lang w:eastAsia="en-GB"/>
              </w:rPr>
              <w:t xml:space="preserve">(e.g. referrals to Customer and Community Services) </w:t>
            </w:r>
            <w:r w:rsidRPr="00F94CD0">
              <w:rPr>
                <w:lang w:eastAsia="en-GB"/>
              </w:rPr>
              <w:t xml:space="preserve">as well as publicly available census </w:t>
            </w:r>
            <w:r w:rsidR="00677749" w:rsidRPr="00F94CD0">
              <w:rPr>
                <w:lang w:eastAsia="en-GB"/>
              </w:rPr>
              <w:t xml:space="preserve">demographic </w:t>
            </w:r>
            <w:r w:rsidRPr="00F94CD0">
              <w:rPr>
                <w:lang w:eastAsia="en-GB"/>
              </w:rPr>
              <w:t>information</w:t>
            </w:r>
            <w:r w:rsidR="00677749" w:rsidRPr="00F94CD0">
              <w:rPr>
                <w:lang w:eastAsia="en-GB"/>
              </w:rPr>
              <w:t xml:space="preserve">, Office for National Statistics </w:t>
            </w:r>
            <w:r w:rsidR="008924B3" w:rsidRPr="00F94CD0">
              <w:rPr>
                <w:lang w:eastAsia="en-GB"/>
              </w:rPr>
              <w:t xml:space="preserve">data, </w:t>
            </w:r>
            <w:r w:rsidR="0027565B" w:rsidRPr="00F94CD0">
              <w:rPr>
                <w:lang w:eastAsia="en-GB"/>
              </w:rPr>
              <w:t xml:space="preserve">data from Local Insight </w:t>
            </w:r>
            <w:r w:rsidR="008924B3" w:rsidRPr="00F94CD0">
              <w:rPr>
                <w:lang w:eastAsia="en-GB"/>
              </w:rPr>
              <w:t xml:space="preserve">and referral case studies </w:t>
            </w:r>
            <w:r w:rsidRPr="00F94CD0">
              <w:rPr>
                <w:lang w:eastAsia="en-GB"/>
              </w:rPr>
              <w:t>etc.</w:t>
            </w:r>
          </w:p>
          <w:p w14:paraId="1487B5DF" w14:textId="77777777" w:rsidR="00677749" w:rsidRPr="00F94CD0" w:rsidRDefault="00677749" w:rsidP="00607E08">
            <w:pPr>
              <w:pStyle w:val="ListParagraph"/>
              <w:tabs>
                <w:tab w:val="left" w:pos="426"/>
              </w:tabs>
              <w:spacing w:after="120"/>
              <w:jc w:val="both"/>
              <w:rPr>
                <w:lang w:eastAsia="en-GB"/>
              </w:rPr>
            </w:pPr>
          </w:p>
          <w:p w14:paraId="47184190" w14:textId="48FF3EFA" w:rsidR="00A46F45" w:rsidRPr="00212853" w:rsidRDefault="00A46F45" w:rsidP="00607E08">
            <w:pPr>
              <w:rPr>
                <w:rFonts w:ascii="Arial" w:hAnsi="Arial" w:cs="Arial"/>
                <w:b/>
                <w:szCs w:val="20"/>
                <w:lang w:eastAsia="en-US"/>
              </w:rPr>
            </w:pPr>
            <w:r w:rsidRPr="00212853">
              <w:rPr>
                <w:rFonts w:ascii="Arial" w:hAnsi="Arial" w:cs="Arial"/>
                <w:b/>
                <w:szCs w:val="20"/>
                <w:lang w:eastAsia="en-US"/>
              </w:rPr>
              <w:t>Here is the summary table of the key equalities related points raised during consultation responses/inputs</w:t>
            </w:r>
            <w:r w:rsidR="00E031AF" w:rsidRPr="00212853">
              <w:rPr>
                <w:rFonts w:ascii="Arial" w:hAnsi="Arial" w:cs="Arial"/>
                <w:b/>
                <w:szCs w:val="20"/>
                <w:lang w:eastAsia="en-US"/>
              </w:rPr>
              <w:t xml:space="preserve"> and the mitigating actions</w:t>
            </w:r>
            <w:r w:rsidR="00EF1B50">
              <w:rPr>
                <w:rFonts w:ascii="Arial" w:hAnsi="Arial" w:cs="Arial"/>
                <w:b/>
                <w:szCs w:val="20"/>
                <w:lang w:eastAsia="en-US"/>
              </w:rPr>
              <w:t xml:space="preserve"> which have been embedded in the strategy as a result</w:t>
            </w:r>
            <w:r w:rsidRPr="00212853">
              <w:rPr>
                <w:rFonts w:ascii="Arial" w:hAnsi="Arial" w:cs="Arial"/>
                <w:b/>
                <w:szCs w:val="20"/>
                <w:lang w:eastAsia="en-US"/>
              </w:rPr>
              <w:t>:</w:t>
            </w:r>
          </w:p>
          <w:p w14:paraId="0897FE58" w14:textId="77777777" w:rsidR="00A46F45" w:rsidRDefault="00A46F45" w:rsidP="00607E08">
            <w:pPr>
              <w:rPr>
                <w:rFonts w:ascii="Arial" w:hAnsi="Arial" w:cs="Arial"/>
                <w:b/>
                <w:szCs w:val="20"/>
                <w:highlight w:val="yellow"/>
                <w:lang w:eastAsia="en-US"/>
              </w:rPr>
            </w:pPr>
          </w:p>
          <w:p w14:paraId="48B6B39B" w14:textId="77777777" w:rsidR="003E419E" w:rsidRPr="006848C3" w:rsidRDefault="003E419E" w:rsidP="00607E08">
            <w:pPr>
              <w:rPr>
                <w:rFonts w:ascii="Arial" w:hAnsi="Arial" w:cs="Arial"/>
                <w:b/>
                <w:szCs w:val="20"/>
                <w:highlight w:val="yellow"/>
                <w:lang w:eastAsia="en-US"/>
              </w:rPr>
            </w:pPr>
          </w:p>
          <w:tbl>
            <w:tblPr>
              <w:tblStyle w:val="TableGrid"/>
              <w:tblW w:w="0" w:type="auto"/>
              <w:tblLayout w:type="fixed"/>
              <w:tblLook w:val="04A0" w:firstRow="1" w:lastRow="0" w:firstColumn="1" w:lastColumn="0" w:noHBand="0" w:noVBand="1"/>
            </w:tblPr>
            <w:tblGrid>
              <w:gridCol w:w="5344"/>
              <w:gridCol w:w="5345"/>
            </w:tblGrid>
            <w:tr w:rsidR="00A46F45" w:rsidRPr="006848C3" w14:paraId="605833DD" w14:textId="77777777" w:rsidTr="00A46F45">
              <w:tc>
                <w:tcPr>
                  <w:tcW w:w="5344" w:type="dxa"/>
                </w:tcPr>
                <w:p w14:paraId="2415184D" w14:textId="77777777" w:rsidR="00A46F45" w:rsidRPr="00EF1B50" w:rsidRDefault="00A46F45" w:rsidP="00607E08">
                  <w:pPr>
                    <w:rPr>
                      <w:rFonts w:ascii="Arial" w:hAnsi="Arial" w:cs="Arial"/>
                      <w:b/>
                      <w:szCs w:val="20"/>
                      <w:lang w:eastAsia="en-US"/>
                    </w:rPr>
                  </w:pPr>
                  <w:r w:rsidRPr="00EF1B50">
                    <w:rPr>
                      <w:rFonts w:ascii="Arial" w:hAnsi="Arial" w:cs="Arial"/>
                      <w:b/>
                      <w:szCs w:val="20"/>
                      <w:lang w:eastAsia="en-US"/>
                    </w:rPr>
                    <w:t>Equalities Impact</w:t>
                  </w:r>
                </w:p>
              </w:tc>
              <w:tc>
                <w:tcPr>
                  <w:tcW w:w="5345" w:type="dxa"/>
                </w:tcPr>
                <w:p w14:paraId="58521764" w14:textId="6D56D43F" w:rsidR="00A46F45" w:rsidRPr="00EF1B50" w:rsidRDefault="00B62A7D" w:rsidP="00B62A7D">
                  <w:pPr>
                    <w:rPr>
                      <w:rFonts w:ascii="Arial" w:hAnsi="Arial" w:cs="Arial"/>
                      <w:b/>
                      <w:szCs w:val="20"/>
                      <w:lang w:eastAsia="en-US"/>
                    </w:rPr>
                  </w:pPr>
                  <w:r>
                    <w:rPr>
                      <w:rFonts w:ascii="Arial" w:hAnsi="Arial" w:cs="Arial"/>
                      <w:b/>
                      <w:szCs w:val="20"/>
                      <w:lang w:eastAsia="en-US"/>
                    </w:rPr>
                    <w:t xml:space="preserve">Strategic Plan </w:t>
                  </w:r>
                  <w:r w:rsidR="000A44CE">
                    <w:rPr>
                      <w:rFonts w:ascii="Arial" w:hAnsi="Arial" w:cs="Arial"/>
                      <w:b/>
                      <w:szCs w:val="20"/>
                      <w:lang w:eastAsia="en-US"/>
                    </w:rPr>
                    <w:t>– Mitigating Actions</w:t>
                  </w:r>
                </w:p>
              </w:tc>
            </w:tr>
            <w:tr w:rsidR="0034284F" w:rsidRPr="006848C3" w14:paraId="02C84897" w14:textId="77777777" w:rsidTr="00BC46D5">
              <w:tc>
                <w:tcPr>
                  <w:tcW w:w="5344" w:type="dxa"/>
                </w:tcPr>
                <w:p w14:paraId="6718DCCF" w14:textId="1404A237" w:rsidR="0034284F" w:rsidRPr="006848C3" w:rsidRDefault="0034284F" w:rsidP="00125020">
                  <w:pPr>
                    <w:rPr>
                      <w:rFonts w:ascii="Arial" w:hAnsi="Arial" w:cs="Arial"/>
                      <w:szCs w:val="20"/>
                      <w:highlight w:val="yellow"/>
                      <w:lang w:eastAsia="en-US"/>
                    </w:rPr>
                  </w:pPr>
                  <w:r w:rsidRPr="00F56809">
                    <w:rPr>
                      <w:rFonts w:ascii="Arial" w:hAnsi="Arial" w:cs="Arial"/>
                      <w:szCs w:val="20"/>
                      <w:lang w:eastAsia="en-US"/>
                    </w:rPr>
                    <w:t xml:space="preserve">People with protected characteristics have been disproportionately affected by the </w:t>
                  </w:r>
                  <w:r w:rsidRPr="00C12BF0">
                    <w:rPr>
                      <w:rFonts w:ascii="Arial" w:hAnsi="Arial" w:cs="Arial"/>
                      <w:b/>
                      <w:szCs w:val="20"/>
                      <w:lang w:eastAsia="en-US"/>
                    </w:rPr>
                    <w:t>pandemic</w:t>
                  </w:r>
                  <w:r w:rsidRPr="00F56809">
                    <w:rPr>
                      <w:rFonts w:ascii="Arial" w:hAnsi="Arial" w:cs="Arial"/>
                      <w:szCs w:val="20"/>
                      <w:lang w:eastAsia="en-US"/>
                    </w:rPr>
                    <w:t xml:space="preserve"> </w:t>
                  </w:r>
                </w:p>
              </w:tc>
              <w:tc>
                <w:tcPr>
                  <w:tcW w:w="5345" w:type="dxa"/>
                </w:tcPr>
                <w:p w14:paraId="3FDBD8FA" w14:textId="77777777" w:rsidR="0034284F" w:rsidRPr="00801A3A" w:rsidRDefault="0034284F" w:rsidP="000B738B">
                  <w:pPr>
                    <w:rPr>
                      <w:rFonts w:ascii="Arial" w:hAnsi="Arial" w:cs="Arial"/>
                      <w:b/>
                      <w:szCs w:val="20"/>
                    </w:rPr>
                  </w:pPr>
                  <w:r w:rsidRPr="00801A3A">
                    <w:rPr>
                      <w:rFonts w:ascii="Arial" w:hAnsi="Arial" w:cs="Arial"/>
                      <w:b/>
                      <w:szCs w:val="20"/>
                    </w:rPr>
                    <w:t>Thriving Communities Strategy</w:t>
                  </w:r>
                  <w:r>
                    <w:rPr>
                      <w:rFonts w:ascii="Arial" w:hAnsi="Arial" w:cs="Arial"/>
                      <w:b/>
                      <w:szCs w:val="20"/>
                    </w:rPr>
                    <w:t>/Economic Strategy</w:t>
                  </w:r>
                </w:p>
                <w:p w14:paraId="6EA50E5E" w14:textId="77777777" w:rsidR="00451EC5" w:rsidRDefault="0034284F" w:rsidP="00125020">
                  <w:pPr>
                    <w:pStyle w:val="ListParagraph"/>
                    <w:numPr>
                      <w:ilvl w:val="0"/>
                      <w:numId w:val="14"/>
                    </w:numPr>
                    <w:spacing w:after="160" w:line="259" w:lineRule="auto"/>
                    <w:ind w:left="389"/>
                  </w:pPr>
                  <w:r w:rsidRPr="00CD47F1">
                    <w:t>Deliver  services, grants, community and leisure facilities, parks and cultural events that help reduce inequality, increase cohesion and improve health and wellbeing across Oxford’s communities</w:t>
                  </w:r>
                </w:p>
                <w:p w14:paraId="4A372612" w14:textId="4D252F0C" w:rsidR="00451EC5" w:rsidRPr="00451EC5" w:rsidRDefault="00451EC5" w:rsidP="00125020">
                  <w:pPr>
                    <w:pStyle w:val="ListParagraph"/>
                    <w:numPr>
                      <w:ilvl w:val="0"/>
                      <w:numId w:val="14"/>
                    </w:numPr>
                    <w:spacing w:after="160" w:line="259" w:lineRule="auto"/>
                    <w:ind w:left="389"/>
                  </w:pPr>
                  <w:r w:rsidRPr="00451EC5">
                    <w:rPr>
                      <w:rFonts w:eastAsia="Times New Roman"/>
                      <w:bCs/>
                      <w:lang w:eastAsia="en-GB"/>
                    </w:rPr>
                    <w:t>Foster an inclusive economy</w:t>
                  </w:r>
                  <w:r w:rsidRPr="00451EC5">
                    <w:rPr>
                      <w:rFonts w:eastAsia="Times New Roman"/>
                      <w:lang w:eastAsia="en-GB"/>
                    </w:rPr>
                    <w:t>, in which wealth is distributed across our communities and where all residents can share the benefits of growth</w:t>
                  </w:r>
                </w:p>
                <w:p w14:paraId="06EA7B87" w14:textId="77777777" w:rsidR="0034284F" w:rsidRDefault="0034284F" w:rsidP="00125020">
                  <w:pPr>
                    <w:pStyle w:val="ListParagraph"/>
                    <w:numPr>
                      <w:ilvl w:val="0"/>
                      <w:numId w:val="14"/>
                    </w:numPr>
                    <w:spacing w:after="160" w:line="259" w:lineRule="auto"/>
                    <w:ind w:left="389"/>
                  </w:pPr>
                  <w:r w:rsidRPr="00536DB5">
                    <w:t>Ensure that staff employed directly or on behalf of the city council are paid at least the Oxford Living Wage, and encourage our suppliers to do the same</w:t>
                  </w:r>
                </w:p>
                <w:p w14:paraId="5430BF99" w14:textId="77777777" w:rsidR="00125020" w:rsidRDefault="00125020" w:rsidP="00125020">
                  <w:pPr>
                    <w:pStyle w:val="ListParagraph"/>
                    <w:numPr>
                      <w:ilvl w:val="0"/>
                      <w:numId w:val="14"/>
                    </w:numPr>
                    <w:spacing w:after="160" w:line="256" w:lineRule="auto"/>
                    <w:ind w:left="389"/>
                  </w:pPr>
                  <w:r>
                    <w:rPr>
                      <w:lang w:val="en-US"/>
                    </w:rPr>
                    <w:t xml:space="preserve">Continue work under our strategic plan to offer development opportunities for disadvantaged children and young people, through the Council’s Youth Ambition programme and our apprenticeship policy. </w:t>
                  </w:r>
                </w:p>
                <w:p w14:paraId="727D1EE2" w14:textId="78DBA6C1" w:rsidR="000B738B" w:rsidRDefault="000B738B" w:rsidP="00125020">
                  <w:pPr>
                    <w:pStyle w:val="ListParagraph"/>
                    <w:numPr>
                      <w:ilvl w:val="0"/>
                      <w:numId w:val="14"/>
                    </w:numPr>
                    <w:spacing w:after="160" w:line="259" w:lineRule="auto"/>
                    <w:ind w:left="389"/>
                  </w:pPr>
                  <w:r>
                    <w:t>Continue to fund youth and holiday activities to provide non-formal education</w:t>
                  </w:r>
                </w:p>
                <w:p w14:paraId="0BEC4964" w14:textId="0C815FC6" w:rsidR="000B738B" w:rsidRPr="00536DB5" w:rsidRDefault="00F11328" w:rsidP="00125020">
                  <w:pPr>
                    <w:pStyle w:val="ListParagraph"/>
                    <w:numPr>
                      <w:ilvl w:val="0"/>
                      <w:numId w:val="14"/>
                    </w:numPr>
                    <w:spacing w:after="160" w:line="259" w:lineRule="auto"/>
                    <w:ind w:left="389"/>
                  </w:pPr>
                  <w:r>
                    <w:lastRenderedPageBreak/>
                    <w:t>Work with partners to increase digital connectivity and skills in the city</w:t>
                  </w:r>
                </w:p>
              </w:tc>
            </w:tr>
            <w:tr w:rsidR="00645C5F" w:rsidRPr="006848C3" w14:paraId="38207108" w14:textId="77777777" w:rsidTr="00B34E1D">
              <w:tc>
                <w:tcPr>
                  <w:tcW w:w="5344" w:type="dxa"/>
                </w:tcPr>
                <w:p w14:paraId="68133301" w14:textId="530C04C3" w:rsidR="00645C5F" w:rsidRPr="00A60424" w:rsidRDefault="00645C5F" w:rsidP="00B81299">
                  <w:pPr>
                    <w:rPr>
                      <w:rFonts w:ascii="Arial" w:hAnsi="Arial" w:cs="Arial"/>
                      <w:szCs w:val="20"/>
                      <w:lang w:eastAsia="en-US"/>
                    </w:rPr>
                  </w:pPr>
                  <w:r w:rsidRPr="00A60424">
                    <w:rPr>
                      <w:rFonts w:ascii="Arial" w:hAnsi="Arial" w:cs="Arial"/>
                      <w:szCs w:val="20"/>
                      <w:lang w:eastAsia="en-US"/>
                    </w:rPr>
                    <w:lastRenderedPageBreak/>
                    <w:t xml:space="preserve">Reported </w:t>
                  </w:r>
                  <w:r w:rsidRPr="00A60424">
                    <w:rPr>
                      <w:rFonts w:ascii="Arial" w:hAnsi="Arial" w:cs="Arial"/>
                      <w:b/>
                      <w:szCs w:val="20"/>
                      <w:lang w:eastAsia="en-US"/>
                    </w:rPr>
                    <w:t>hate crime</w:t>
                  </w:r>
                  <w:r w:rsidRPr="00A60424">
                    <w:rPr>
                      <w:rFonts w:ascii="Arial" w:hAnsi="Arial" w:cs="Arial"/>
                      <w:szCs w:val="20"/>
                      <w:lang w:eastAsia="en-US"/>
                    </w:rPr>
                    <w:t xml:space="preserve"> incidents are rising in Oxford – </w:t>
                  </w:r>
                  <w:r w:rsidR="005C00ED" w:rsidRPr="00A60424">
                    <w:rPr>
                      <w:rFonts w:ascii="Arial" w:hAnsi="Arial" w:cs="Arial"/>
                      <w:szCs w:val="20"/>
                      <w:lang w:eastAsia="en-US"/>
                    </w:rPr>
                    <w:t>people are being attacked for their race, religion, sexual orientation</w:t>
                  </w:r>
                  <w:r w:rsidR="00183F3D">
                    <w:rPr>
                      <w:rFonts w:ascii="Arial" w:hAnsi="Arial" w:cs="Arial"/>
                      <w:szCs w:val="20"/>
                      <w:lang w:eastAsia="en-US"/>
                    </w:rPr>
                    <w:t>,</w:t>
                  </w:r>
                  <w:r w:rsidR="005C00ED" w:rsidRPr="00A60424">
                    <w:rPr>
                      <w:rFonts w:ascii="Arial" w:hAnsi="Arial" w:cs="Arial"/>
                      <w:szCs w:val="20"/>
                      <w:lang w:eastAsia="en-US"/>
                    </w:rPr>
                    <w:t xml:space="preserve"> disability</w:t>
                  </w:r>
                  <w:r w:rsidR="00183F3D">
                    <w:rPr>
                      <w:rFonts w:ascii="Arial" w:hAnsi="Arial" w:cs="Arial"/>
                      <w:szCs w:val="20"/>
                      <w:lang w:eastAsia="en-US"/>
                    </w:rPr>
                    <w:t xml:space="preserve"> and gender</w:t>
                  </w:r>
                  <w:r w:rsidR="005C00ED" w:rsidRPr="00A60424">
                    <w:rPr>
                      <w:rFonts w:ascii="Arial" w:hAnsi="Arial" w:cs="Arial"/>
                      <w:szCs w:val="20"/>
                      <w:lang w:eastAsia="en-US"/>
                    </w:rPr>
                    <w:t xml:space="preserve">. </w:t>
                  </w:r>
                  <w:r w:rsidRPr="00A60424">
                    <w:rPr>
                      <w:rFonts w:ascii="Arial" w:hAnsi="Arial" w:cs="Arial"/>
                      <w:szCs w:val="20"/>
                      <w:lang w:eastAsia="en-US"/>
                    </w:rPr>
                    <w:t xml:space="preserve">There is a </w:t>
                  </w:r>
                  <w:r w:rsidRPr="00A60424">
                    <w:rPr>
                      <w:rFonts w:ascii="Arial" w:hAnsi="Arial" w:cs="Arial"/>
                      <w:b/>
                      <w:szCs w:val="20"/>
                      <w:lang w:eastAsia="en-US"/>
                    </w:rPr>
                    <w:t>lack of</w:t>
                  </w:r>
                  <w:r w:rsidRPr="00A60424">
                    <w:rPr>
                      <w:rFonts w:ascii="Arial" w:hAnsi="Arial" w:cs="Arial"/>
                      <w:szCs w:val="20"/>
                      <w:lang w:eastAsia="en-US"/>
                    </w:rPr>
                    <w:t xml:space="preserve"> </w:t>
                  </w:r>
                  <w:r w:rsidRPr="00A60424">
                    <w:rPr>
                      <w:rFonts w:ascii="Arial" w:hAnsi="Arial" w:cs="Arial"/>
                      <w:b/>
                      <w:szCs w:val="20"/>
                      <w:lang w:eastAsia="en-US"/>
                    </w:rPr>
                    <w:t>safe spaces</w:t>
                  </w:r>
                  <w:r w:rsidRPr="00A60424">
                    <w:rPr>
                      <w:rFonts w:ascii="Arial" w:hAnsi="Arial" w:cs="Arial"/>
                      <w:szCs w:val="20"/>
                      <w:lang w:eastAsia="en-US"/>
                    </w:rPr>
                    <w:t xml:space="preserve"> for communities to meet in the city and there used to be more e.g. the </w:t>
                  </w:r>
                  <w:r w:rsidRPr="00A60424">
                    <w:rPr>
                      <w:rStyle w:val="content-text"/>
                      <w:rFonts w:ascii="Arial" w:hAnsi="Arial" w:cs="Arial"/>
                      <w:lang w:val="en"/>
                    </w:rPr>
                    <w:t xml:space="preserve">LGBTQIA+ community centre at the Northgate Hall </w:t>
                  </w:r>
                  <w:r w:rsidR="005C00ED" w:rsidRPr="00A60424">
                    <w:rPr>
                      <w:rStyle w:val="content-text"/>
                      <w:rFonts w:ascii="Arial" w:hAnsi="Arial" w:cs="Arial"/>
                      <w:lang w:val="en"/>
                    </w:rPr>
                    <w:t xml:space="preserve">which </w:t>
                  </w:r>
                  <w:r w:rsidRPr="00A60424">
                    <w:rPr>
                      <w:rStyle w:val="content-text"/>
                      <w:rFonts w:ascii="Arial" w:hAnsi="Arial" w:cs="Arial"/>
                      <w:lang w:val="en"/>
                    </w:rPr>
                    <w:t>closed about 15 years ago</w:t>
                  </w:r>
                </w:p>
              </w:tc>
              <w:tc>
                <w:tcPr>
                  <w:tcW w:w="5345" w:type="dxa"/>
                </w:tcPr>
                <w:p w14:paraId="5DD808A7" w14:textId="61502E9F" w:rsidR="00177FFE" w:rsidRPr="00A60424" w:rsidRDefault="00177FFE" w:rsidP="00177FFE">
                  <w:pPr>
                    <w:rPr>
                      <w:szCs w:val="20"/>
                    </w:rPr>
                  </w:pPr>
                  <w:r w:rsidRPr="00A60424">
                    <w:rPr>
                      <w:rFonts w:ascii="Arial" w:hAnsi="Arial" w:cs="Arial"/>
                      <w:b/>
                      <w:szCs w:val="20"/>
                    </w:rPr>
                    <w:t>Thriving Communities Strategy/</w:t>
                  </w:r>
                  <w:r w:rsidR="00A60424" w:rsidRPr="00A60424">
                    <w:rPr>
                      <w:rFonts w:ascii="Arial" w:hAnsi="Arial" w:cs="Arial"/>
                      <w:b/>
                      <w:szCs w:val="20"/>
                    </w:rPr>
                    <w:t>Grant Review/</w:t>
                  </w:r>
                  <w:r w:rsidRPr="00A60424">
                    <w:rPr>
                      <w:rFonts w:ascii="Arial" w:hAnsi="Arial" w:cs="Arial"/>
                      <w:b/>
                      <w:szCs w:val="20"/>
                    </w:rPr>
                    <w:t>Asset Management Strategy</w:t>
                  </w:r>
                  <w:r w:rsidRPr="00A60424">
                    <w:rPr>
                      <w:szCs w:val="20"/>
                    </w:rPr>
                    <w:t xml:space="preserve"> </w:t>
                  </w:r>
                </w:p>
                <w:p w14:paraId="569F3E09" w14:textId="203B61A3" w:rsidR="00A60424" w:rsidRPr="00A60424" w:rsidRDefault="00A60424" w:rsidP="00A60424">
                  <w:pPr>
                    <w:pStyle w:val="ListParagraph"/>
                    <w:numPr>
                      <w:ilvl w:val="0"/>
                      <w:numId w:val="14"/>
                    </w:numPr>
                    <w:ind w:left="417"/>
                    <w:rPr>
                      <w:szCs w:val="20"/>
                    </w:rPr>
                  </w:pPr>
                  <w:r>
                    <w:t>Work with TVP</w:t>
                  </w:r>
                  <w:r w:rsidR="0078201F">
                    <w:t xml:space="preserve"> and other partners</w:t>
                  </w:r>
                  <w:r>
                    <w:t xml:space="preserve"> to understand and address the root causes</w:t>
                  </w:r>
                  <w:r w:rsidRPr="00A60424">
                    <w:t xml:space="preserve"> </w:t>
                  </w:r>
                </w:p>
                <w:p w14:paraId="7BAA35C9" w14:textId="3939101B" w:rsidR="00645C5F" w:rsidRPr="00A60424" w:rsidRDefault="00A60424" w:rsidP="00A60424">
                  <w:pPr>
                    <w:pStyle w:val="ListParagraph"/>
                    <w:numPr>
                      <w:ilvl w:val="0"/>
                      <w:numId w:val="14"/>
                    </w:numPr>
                    <w:ind w:left="417"/>
                    <w:rPr>
                      <w:szCs w:val="20"/>
                    </w:rPr>
                  </w:pPr>
                  <w:r w:rsidRPr="00A60424">
                    <w:t xml:space="preserve">Work with partners to identify available </w:t>
                  </w:r>
                  <w:r w:rsidR="002A24DD">
                    <w:t>venues which could become shared safe spaces</w:t>
                  </w:r>
                </w:p>
                <w:p w14:paraId="51FA6172" w14:textId="77777777" w:rsidR="00A60424" w:rsidRPr="00B848D5" w:rsidRDefault="00A60424" w:rsidP="00A60424">
                  <w:pPr>
                    <w:pStyle w:val="ListParagraph"/>
                    <w:numPr>
                      <w:ilvl w:val="0"/>
                      <w:numId w:val="14"/>
                    </w:numPr>
                    <w:ind w:left="417"/>
                    <w:rPr>
                      <w:szCs w:val="20"/>
                    </w:rPr>
                  </w:pPr>
                  <w:r w:rsidRPr="00A60424">
                    <w:t>Support communities to access funding to create safe</w:t>
                  </w:r>
                  <w:r>
                    <w:t xml:space="preserve"> meeting spaces</w:t>
                  </w:r>
                </w:p>
                <w:p w14:paraId="526CEF2D" w14:textId="0659A900" w:rsidR="00B848D5" w:rsidRPr="00A60424" w:rsidRDefault="00B848D5" w:rsidP="00B848D5">
                  <w:pPr>
                    <w:pStyle w:val="ListParagraph"/>
                    <w:numPr>
                      <w:ilvl w:val="0"/>
                      <w:numId w:val="14"/>
                    </w:numPr>
                    <w:ind w:left="417"/>
                    <w:rPr>
                      <w:szCs w:val="20"/>
                    </w:rPr>
                  </w:pPr>
                  <w:r>
                    <w:t>Create and promote inclusive events to enable communities to get to know each other</w:t>
                  </w:r>
                </w:p>
              </w:tc>
            </w:tr>
            <w:tr w:rsidR="00CD6150" w:rsidRPr="006848C3" w14:paraId="45282307" w14:textId="77777777" w:rsidTr="00BC46D5">
              <w:tc>
                <w:tcPr>
                  <w:tcW w:w="5344" w:type="dxa"/>
                </w:tcPr>
                <w:p w14:paraId="071265F1" w14:textId="4BDE677D" w:rsidR="00CD6150" w:rsidRPr="006848C3" w:rsidRDefault="00CD6150" w:rsidP="00147AC7">
                  <w:pPr>
                    <w:rPr>
                      <w:rFonts w:ascii="Arial" w:hAnsi="Arial" w:cs="Arial"/>
                      <w:szCs w:val="20"/>
                      <w:highlight w:val="yellow"/>
                      <w:lang w:eastAsia="en-US"/>
                    </w:rPr>
                  </w:pPr>
                  <w:r w:rsidRPr="00F56809">
                    <w:rPr>
                      <w:rFonts w:ascii="Arial" w:hAnsi="Arial" w:cs="Arial"/>
                      <w:szCs w:val="20"/>
                      <w:lang w:eastAsia="en-US"/>
                    </w:rPr>
                    <w:t xml:space="preserve">People with protected characteristics </w:t>
                  </w:r>
                  <w:r>
                    <w:rPr>
                      <w:rFonts w:ascii="Arial" w:hAnsi="Arial" w:cs="Arial"/>
                      <w:szCs w:val="20"/>
                      <w:lang w:eastAsia="en-US"/>
                    </w:rPr>
                    <w:t xml:space="preserve">can find it </w:t>
                  </w:r>
                  <w:r w:rsidRPr="00A60424">
                    <w:rPr>
                      <w:rFonts w:ascii="Arial" w:hAnsi="Arial" w:cs="Arial"/>
                      <w:b/>
                      <w:szCs w:val="20"/>
                      <w:lang w:eastAsia="en-US"/>
                    </w:rPr>
                    <w:t>difficult to understand about and</w:t>
                  </w:r>
                  <w:r>
                    <w:rPr>
                      <w:rFonts w:ascii="Arial" w:hAnsi="Arial" w:cs="Arial"/>
                      <w:szCs w:val="20"/>
                      <w:lang w:eastAsia="en-US"/>
                    </w:rPr>
                    <w:t xml:space="preserve"> </w:t>
                  </w:r>
                  <w:r w:rsidRPr="00C12BF0">
                    <w:rPr>
                      <w:rFonts w:ascii="Arial" w:hAnsi="Arial" w:cs="Arial"/>
                      <w:b/>
                      <w:szCs w:val="20"/>
                      <w:lang w:eastAsia="en-US"/>
                    </w:rPr>
                    <w:t>access Council services</w:t>
                  </w:r>
                  <w:r w:rsidR="006C6E0A">
                    <w:rPr>
                      <w:rFonts w:ascii="Arial" w:hAnsi="Arial" w:cs="Arial"/>
                      <w:szCs w:val="20"/>
                      <w:lang w:eastAsia="en-US"/>
                    </w:rPr>
                    <w:t xml:space="preserve"> – </w:t>
                  </w:r>
                  <w:r w:rsidR="00147AC7">
                    <w:rPr>
                      <w:rFonts w:ascii="Arial" w:hAnsi="Arial" w:cs="Arial"/>
                      <w:szCs w:val="20"/>
                      <w:lang w:eastAsia="en-US"/>
                    </w:rPr>
                    <w:t>including disabled people and</w:t>
                  </w:r>
                  <w:r w:rsidR="006C6E0A">
                    <w:rPr>
                      <w:rFonts w:ascii="Arial" w:hAnsi="Arial" w:cs="Arial"/>
                      <w:szCs w:val="20"/>
                      <w:lang w:eastAsia="en-US"/>
                    </w:rPr>
                    <w:t xml:space="preserve"> migrant communities who don’t have English as a first language</w:t>
                  </w:r>
                </w:p>
              </w:tc>
              <w:tc>
                <w:tcPr>
                  <w:tcW w:w="5345" w:type="dxa"/>
                </w:tcPr>
                <w:p w14:paraId="67DD89E4" w14:textId="77777777" w:rsidR="00CD6150" w:rsidRPr="00801A3A" w:rsidRDefault="00CD6150" w:rsidP="00BC46D5">
                  <w:pPr>
                    <w:rPr>
                      <w:rFonts w:ascii="Arial" w:hAnsi="Arial" w:cs="Arial"/>
                      <w:b/>
                      <w:szCs w:val="20"/>
                    </w:rPr>
                  </w:pPr>
                  <w:r w:rsidRPr="00801A3A">
                    <w:rPr>
                      <w:rFonts w:ascii="Arial" w:hAnsi="Arial" w:cs="Arial"/>
                      <w:b/>
                      <w:szCs w:val="20"/>
                    </w:rPr>
                    <w:t>Thriving Communities Strategy</w:t>
                  </w:r>
                  <w:r>
                    <w:rPr>
                      <w:rFonts w:ascii="Arial" w:hAnsi="Arial" w:cs="Arial"/>
                      <w:b/>
                      <w:szCs w:val="20"/>
                    </w:rPr>
                    <w:t>/Economic Strategy</w:t>
                  </w:r>
                </w:p>
                <w:p w14:paraId="2B32D3E6" w14:textId="77777777" w:rsidR="0063005A" w:rsidRDefault="0063005A" w:rsidP="00E90A2B">
                  <w:pPr>
                    <w:pStyle w:val="ListParagraph"/>
                    <w:numPr>
                      <w:ilvl w:val="0"/>
                      <w:numId w:val="14"/>
                    </w:numPr>
                    <w:spacing w:after="160" w:line="259" w:lineRule="auto"/>
                    <w:ind w:left="389"/>
                  </w:pPr>
                  <w:r>
                    <w:t>Deliver the Service Integration Plan and move to working in a locality based model</w:t>
                  </w:r>
                </w:p>
                <w:p w14:paraId="418B2160" w14:textId="7C986428" w:rsidR="00E90A2B" w:rsidRDefault="005B2CC7" w:rsidP="00E90A2B">
                  <w:pPr>
                    <w:pStyle w:val="ListParagraph"/>
                    <w:numPr>
                      <w:ilvl w:val="0"/>
                      <w:numId w:val="14"/>
                    </w:numPr>
                    <w:spacing w:after="160" w:line="256" w:lineRule="auto"/>
                    <w:ind w:left="389"/>
                  </w:pPr>
                  <w:r>
                    <w:rPr>
                      <w:bCs/>
                    </w:rPr>
                    <w:t>Improve</w:t>
                  </w:r>
                  <w:r w:rsidR="00E90A2B" w:rsidRPr="00E90A2B">
                    <w:rPr>
                      <w:bCs/>
                    </w:rPr>
                    <w:t xml:space="preserve"> service design: </w:t>
                  </w:r>
                  <w:r>
                    <w:t>build</w:t>
                  </w:r>
                  <w:r w:rsidR="00E90A2B" w:rsidRPr="00E90A2B">
                    <w:t xml:space="preserve"> in strong equality, diversity and i</w:t>
                  </w:r>
                  <w:r w:rsidR="00E90A2B">
                    <w:t>nclusion processes at an early stage of policy and service design so that we meet the needs of all residents</w:t>
                  </w:r>
                </w:p>
                <w:p w14:paraId="1E5798EB" w14:textId="77777777" w:rsidR="008D594D" w:rsidRDefault="004F6BCC" w:rsidP="00E90A2B">
                  <w:pPr>
                    <w:pStyle w:val="ListParagraph"/>
                    <w:numPr>
                      <w:ilvl w:val="0"/>
                      <w:numId w:val="14"/>
                    </w:numPr>
                    <w:spacing w:after="160" w:line="259" w:lineRule="auto"/>
                    <w:ind w:left="389"/>
                  </w:pPr>
                  <w:r>
                    <w:t xml:space="preserve">Commission and provide grant funding to help </w:t>
                  </w:r>
                  <w:r w:rsidR="00FE0B44">
                    <w:t xml:space="preserve">raise awareness of </w:t>
                  </w:r>
                  <w:r w:rsidR="00B819CA">
                    <w:t xml:space="preserve">access issues and </w:t>
                  </w:r>
                  <w:r>
                    <w:t xml:space="preserve">support communities </w:t>
                  </w:r>
                  <w:r w:rsidR="004D5D9B">
                    <w:t xml:space="preserve">to </w:t>
                  </w:r>
                  <w:r>
                    <w:t xml:space="preserve">access </w:t>
                  </w:r>
                  <w:r w:rsidR="004D5D9B">
                    <w:t>buildings and services</w:t>
                  </w:r>
                  <w:r w:rsidR="00B819CA">
                    <w:t xml:space="preserve"> including using translation tools where needed</w:t>
                  </w:r>
                </w:p>
                <w:p w14:paraId="21B73E16" w14:textId="787F7B69" w:rsidR="008D594D" w:rsidRPr="00835A43" w:rsidRDefault="008D594D" w:rsidP="00E90A2B">
                  <w:pPr>
                    <w:pStyle w:val="ListParagraph"/>
                    <w:numPr>
                      <w:ilvl w:val="0"/>
                      <w:numId w:val="14"/>
                    </w:numPr>
                    <w:spacing w:after="160" w:line="259" w:lineRule="auto"/>
                    <w:ind w:left="389"/>
                  </w:pPr>
                  <w:r w:rsidRPr="008D594D">
                    <w:rPr>
                      <w:lang w:val="en-US"/>
                    </w:rPr>
                    <w:t xml:space="preserve">Review how we communicate and engage with communities, looking at how this may need to adapt for different localities, diversities, interests and needs. This will include the need to report back to </w:t>
                  </w:r>
                  <w:r w:rsidRPr="008D594D">
                    <w:rPr>
                      <w:lang w:val="en-US"/>
                    </w:rPr>
                    <w:lastRenderedPageBreak/>
                    <w:t>communities on outcomes as well as listening to needs, vulnerabilities and aspirations.</w:t>
                  </w:r>
                </w:p>
                <w:p w14:paraId="59D837CA" w14:textId="309C3BD7" w:rsidR="0063005A" w:rsidRDefault="0063005A" w:rsidP="00E90A2B">
                  <w:pPr>
                    <w:pStyle w:val="ListParagraph"/>
                    <w:numPr>
                      <w:ilvl w:val="0"/>
                      <w:numId w:val="14"/>
                    </w:numPr>
                    <w:spacing w:after="160" w:line="259" w:lineRule="auto"/>
                    <w:ind w:left="389"/>
                  </w:pPr>
                  <w:r>
                    <w:t xml:space="preserve">Redevelop </w:t>
                  </w:r>
                  <w:r w:rsidR="00155CE6">
                    <w:t xml:space="preserve">OCC </w:t>
                  </w:r>
                  <w:r>
                    <w:t xml:space="preserve">website and promote its access tools more widely </w:t>
                  </w:r>
                </w:p>
                <w:p w14:paraId="04DDA9C3" w14:textId="77777777" w:rsidR="005C3D0D" w:rsidRDefault="005C3D0D" w:rsidP="00E90A2B">
                  <w:pPr>
                    <w:pStyle w:val="ListParagraph"/>
                    <w:numPr>
                      <w:ilvl w:val="0"/>
                      <w:numId w:val="14"/>
                    </w:numPr>
                    <w:spacing w:after="160" w:line="256" w:lineRule="auto"/>
                    <w:ind w:left="389"/>
                    <w:rPr>
                      <w:lang w:val="en-US"/>
                    </w:rPr>
                  </w:pPr>
                  <w:r>
                    <w:rPr>
                      <w:lang w:val="en-US"/>
                    </w:rPr>
                    <w:t xml:space="preserve">Work with stakeholders and partners to support access to core service provision for migrant communities. This includes promoting and enhancing our online welcome pack for migrant communities and international students. </w:t>
                  </w:r>
                </w:p>
                <w:p w14:paraId="2D0DFA61" w14:textId="018A044F" w:rsidR="0063005A" w:rsidRDefault="0063005A" w:rsidP="00E90A2B">
                  <w:pPr>
                    <w:pStyle w:val="ListParagraph"/>
                    <w:numPr>
                      <w:ilvl w:val="0"/>
                      <w:numId w:val="14"/>
                    </w:numPr>
                    <w:spacing w:after="160" w:line="259" w:lineRule="auto"/>
                    <w:ind w:left="389"/>
                  </w:pPr>
                  <w:r>
                    <w:t>Work with, s</w:t>
                  </w:r>
                  <w:r w:rsidRPr="00835A43">
                    <w:t>upport and enable local voluntary and community groups to take a greater role in improving the city and the lives of residents</w:t>
                  </w:r>
                </w:p>
                <w:p w14:paraId="74AE2EC3" w14:textId="77D612AE" w:rsidR="00835A43" w:rsidRDefault="00835A43" w:rsidP="00E90A2B">
                  <w:pPr>
                    <w:pStyle w:val="ListParagraph"/>
                    <w:numPr>
                      <w:ilvl w:val="0"/>
                      <w:numId w:val="14"/>
                    </w:numPr>
                    <w:spacing w:after="160" w:line="259" w:lineRule="auto"/>
                    <w:ind w:left="389"/>
                  </w:pPr>
                  <w:r w:rsidRPr="00835A43">
                    <w:t xml:space="preserve">Ensure our staff are skilled and confident in delivering </w:t>
                  </w:r>
                  <w:r w:rsidR="00C42988">
                    <w:t xml:space="preserve">services our residents want </w:t>
                  </w:r>
                </w:p>
                <w:p w14:paraId="4CD93DE4" w14:textId="595F905A" w:rsidR="00CD6150" w:rsidRPr="00835A43" w:rsidRDefault="00835A43" w:rsidP="00E90A2B">
                  <w:pPr>
                    <w:pStyle w:val="ListParagraph"/>
                    <w:numPr>
                      <w:ilvl w:val="0"/>
                      <w:numId w:val="14"/>
                    </w:numPr>
                    <w:spacing w:after="160" w:line="259" w:lineRule="auto"/>
                    <w:ind w:left="389"/>
                  </w:pPr>
                  <w:r w:rsidRPr="00835A43">
                    <w:t>Work with our subsidiaries ODS and OCHL to ensure the essential services they provide for us prioritise a focus on equality, diversity and inclusion</w:t>
                  </w:r>
                </w:p>
              </w:tc>
            </w:tr>
            <w:tr w:rsidR="00A46F45" w:rsidRPr="006848C3" w14:paraId="150A8843" w14:textId="77777777" w:rsidTr="00A46F45">
              <w:tc>
                <w:tcPr>
                  <w:tcW w:w="5344" w:type="dxa"/>
                </w:tcPr>
                <w:p w14:paraId="1F5BCAB4" w14:textId="26B2A0A3" w:rsidR="00A46F45" w:rsidRPr="006848C3" w:rsidRDefault="00C12BF0" w:rsidP="00141A48">
                  <w:pPr>
                    <w:rPr>
                      <w:rFonts w:ascii="Arial" w:hAnsi="Arial" w:cs="Arial"/>
                      <w:szCs w:val="20"/>
                      <w:highlight w:val="yellow"/>
                    </w:rPr>
                  </w:pPr>
                  <w:r w:rsidRPr="00C12BF0">
                    <w:rPr>
                      <w:rFonts w:ascii="Arial" w:hAnsi="Arial" w:cs="Arial"/>
                      <w:b/>
                      <w:szCs w:val="20"/>
                      <w:lang w:eastAsia="en-US"/>
                    </w:rPr>
                    <w:lastRenderedPageBreak/>
                    <w:t>Institutional r</w:t>
                  </w:r>
                  <w:r w:rsidR="0008139C" w:rsidRPr="00C12BF0">
                    <w:rPr>
                      <w:rFonts w:ascii="Arial" w:hAnsi="Arial" w:cs="Arial"/>
                      <w:b/>
                      <w:szCs w:val="20"/>
                      <w:lang w:eastAsia="en-US"/>
                    </w:rPr>
                    <w:t>acism</w:t>
                  </w:r>
                  <w:r w:rsidRPr="00C12BF0">
                    <w:rPr>
                      <w:rFonts w:ascii="Arial" w:hAnsi="Arial" w:cs="Arial"/>
                      <w:b/>
                      <w:szCs w:val="20"/>
                      <w:lang w:eastAsia="en-US"/>
                    </w:rPr>
                    <w:t xml:space="preserve"> and s</w:t>
                  </w:r>
                  <w:r w:rsidR="00700AB8" w:rsidRPr="00C12BF0">
                    <w:rPr>
                      <w:rFonts w:ascii="Arial" w:hAnsi="Arial" w:cs="Arial"/>
                      <w:b/>
                      <w:szCs w:val="20"/>
                      <w:lang w:eastAsia="en-US"/>
                    </w:rPr>
                    <w:t>exism</w:t>
                  </w:r>
                  <w:r w:rsidR="0008139C" w:rsidRPr="00C12BF0">
                    <w:rPr>
                      <w:rFonts w:ascii="Arial" w:hAnsi="Arial" w:cs="Arial"/>
                      <w:b/>
                      <w:szCs w:val="20"/>
                      <w:lang w:eastAsia="en-US"/>
                    </w:rPr>
                    <w:t xml:space="preserve"> </w:t>
                  </w:r>
                  <w:r w:rsidR="0008139C" w:rsidRPr="0008139C">
                    <w:rPr>
                      <w:rFonts w:ascii="Arial" w:hAnsi="Arial" w:cs="Arial"/>
                      <w:szCs w:val="20"/>
                      <w:lang w:eastAsia="en-US"/>
                    </w:rPr>
                    <w:t>makes it harder for People of Colour</w:t>
                  </w:r>
                  <w:r w:rsidR="00E37D14">
                    <w:rPr>
                      <w:rFonts w:ascii="Arial" w:hAnsi="Arial" w:cs="Arial"/>
                      <w:szCs w:val="20"/>
                      <w:lang w:eastAsia="en-US"/>
                    </w:rPr>
                    <w:t xml:space="preserve"> and Women</w:t>
                  </w:r>
                  <w:r w:rsidR="0008139C" w:rsidRPr="0008139C">
                    <w:rPr>
                      <w:rFonts w:ascii="Arial" w:hAnsi="Arial" w:cs="Arial"/>
                      <w:szCs w:val="20"/>
                      <w:lang w:eastAsia="en-US"/>
                    </w:rPr>
                    <w:t xml:space="preserve"> to </w:t>
                  </w:r>
                  <w:r w:rsidR="0008139C" w:rsidRPr="00C12BF0">
                    <w:rPr>
                      <w:rFonts w:ascii="Arial" w:hAnsi="Arial" w:cs="Arial"/>
                      <w:b/>
                      <w:szCs w:val="20"/>
                      <w:lang w:eastAsia="en-US"/>
                    </w:rPr>
                    <w:t>get a job</w:t>
                  </w:r>
                  <w:r w:rsidR="00700AB8" w:rsidRPr="00C12BF0">
                    <w:rPr>
                      <w:rFonts w:ascii="Arial" w:hAnsi="Arial" w:cs="Arial"/>
                      <w:b/>
                      <w:szCs w:val="20"/>
                      <w:lang w:eastAsia="en-US"/>
                    </w:rPr>
                    <w:t xml:space="preserve"> and be promoted</w:t>
                  </w:r>
                </w:p>
              </w:tc>
              <w:tc>
                <w:tcPr>
                  <w:tcW w:w="5345" w:type="dxa"/>
                </w:tcPr>
                <w:p w14:paraId="51B0E34A" w14:textId="42C275A2" w:rsidR="0008139C" w:rsidRPr="00B526E5" w:rsidRDefault="00AE210C" w:rsidP="0008139C">
                  <w:pPr>
                    <w:rPr>
                      <w:rFonts w:ascii="Arial" w:hAnsi="Arial" w:cs="Arial"/>
                      <w:b/>
                      <w:szCs w:val="20"/>
                    </w:rPr>
                  </w:pPr>
                  <w:r>
                    <w:rPr>
                      <w:rFonts w:ascii="Arial" w:hAnsi="Arial" w:cs="Arial"/>
                      <w:b/>
                      <w:szCs w:val="20"/>
                    </w:rPr>
                    <w:t>Anti-Racism Charter/</w:t>
                  </w:r>
                  <w:r w:rsidR="0008139C" w:rsidRPr="00B526E5">
                    <w:rPr>
                      <w:rFonts w:ascii="Arial" w:hAnsi="Arial" w:cs="Arial"/>
                      <w:b/>
                      <w:szCs w:val="20"/>
                    </w:rPr>
                    <w:t>People Strategy</w:t>
                  </w:r>
                  <w:r w:rsidR="00700AB8" w:rsidRPr="00B526E5">
                    <w:rPr>
                      <w:rFonts w:ascii="Arial" w:hAnsi="Arial" w:cs="Arial"/>
                      <w:b/>
                      <w:szCs w:val="20"/>
                    </w:rPr>
                    <w:t>/</w:t>
                  </w:r>
                  <w:r w:rsidR="00004E36">
                    <w:rPr>
                      <w:rFonts w:ascii="Arial" w:hAnsi="Arial" w:cs="Arial"/>
                      <w:b/>
                      <w:szCs w:val="20"/>
                    </w:rPr>
                    <w:t xml:space="preserve"> </w:t>
                  </w:r>
                  <w:r w:rsidR="00B526E5" w:rsidRPr="00B526E5">
                    <w:rPr>
                      <w:rFonts w:ascii="Arial" w:hAnsi="Arial" w:cs="Arial"/>
                      <w:b/>
                      <w:szCs w:val="20"/>
                    </w:rPr>
                    <w:t>Economic Strategy</w:t>
                  </w:r>
                  <w:r w:rsidR="00CE4F78">
                    <w:rPr>
                      <w:rFonts w:ascii="Arial" w:hAnsi="Arial" w:cs="Arial"/>
                      <w:b/>
                      <w:szCs w:val="20"/>
                    </w:rPr>
                    <w:t>/Thriving Communities Strategy</w:t>
                  </w:r>
                </w:p>
                <w:p w14:paraId="1FE9412F" w14:textId="69EB2E64" w:rsidR="00AE210C" w:rsidRDefault="00AE210C" w:rsidP="00081AB7">
                  <w:pPr>
                    <w:pStyle w:val="ListParagraph"/>
                    <w:numPr>
                      <w:ilvl w:val="0"/>
                      <w:numId w:val="10"/>
                    </w:numPr>
                    <w:spacing w:after="160" w:line="259" w:lineRule="auto"/>
                    <w:ind w:left="389"/>
                  </w:pPr>
                  <w:r w:rsidRPr="00AE210C">
                    <w:t>Continue our commitment to the Oxford Anti-Racism Charter by encouraging communities, businesses and organisations to take ownership of their own contributions to anti-racism in the city.</w:t>
                  </w:r>
                </w:p>
                <w:p w14:paraId="2F64536A" w14:textId="1A9068D8" w:rsidR="00807EF4" w:rsidRPr="00AE210C" w:rsidRDefault="00807EF4" w:rsidP="00081AB7">
                  <w:pPr>
                    <w:pStyle w:val="ListParagraph"/>
                    <w:numPr>
                      <w:ilvl w:val="0"/>
                      <w:numId w:val="10"/>
                    </w:numPr>
                    <w:spacing w:after="160" w:line="256" w:lineRule="auto"/>
                    <w:ind w:left="389"/>
                  </w:pPr>
                  <w:r>
                    <w:rPr>
                      <w:lang w:val="en-US"/>
                    </w:rPr>
                    <w:t xml:space="preserve">Continue to work with partners to </w:t>
                  </w:r>
                  <w:r w:rsidR="001A19F3">
                    <w:rPr>
                      <w:lang w:val="en-US"/>
                    </w:rPr>
                    <w:t xml:space="preserve">challenge discrimination, </w:t>
                  </w:r>
                  <w:r>
                    <w:rPr>
                      <w:lang w:val="en-US"/>
                    </w:rPr>
                    <w:t xml:space="preserve">tackle racism and hate </w:t>
                  </w:r>
                  <w:r>
                    <w:rPr>
                      <w:lang w:val="en-US"/>
                    </w:rPr>
                    <w:lastRenderedPageBreak/>
                    <w:t xml:space="preserve">language, including </w:t>
                  </w:r>
                  <w:r w:rsidR="00351119">
                    <w:rPr>
                      <w:lang w:val="en-US"/>
                    </w:rPr>
                    <w:t>addressing</w:t>
                  </w:r>
                  <w:r>
                    <w:rPr>
                      <w:lang w:val="en-US"/>
                    </w:rPr>
                    <w:t xml:space="preserve"> the root causes</w:t>
                  </w:r>
                </w:p>
                <w:p w14:paraId="51261215" w14:textId="734D75C7" w:rsidR="009B05A1" w:rsidRDefault="00700AB8" w:rsidP="00081AB7">
                  <w:pPr>
                    <w:pStyle w:val="ListParagraph"/>
                    <w:numPr>
                      <w:ilvl w:val="0"/>
                      <w:numId w:val="10"/>
                    </w:numPr>
                    <w:spacing w:after="160" w:line="259" w:lineRule="auto"/>
                    <w:ind w:left="389"/>
                  </w:pPr>
                  <w:r w:rsidRPr="00AE210C">
                    <w:t>Implement the Oxford City Council Workforce Equalities Action Plan to boost employee diversity through recruitment and apprenticeships and expand the management opportunities for Black, Asian and Minority Ethnic staff and women so our workforce as a whole better refl</w:t>
                  </w:r>
                  <w:r w:rsidR="009B05A1">
                    <w:t>ects Oxford’s diverse population</w:t>
                  </w:r>
                </w:p>
                <w:p w14:paraId="089967DB" w14:textId="77777777" w:rsidR="00081AB7" w:rsidRDefault="00081AB7" w:rsidP="00081AB7">
                  <w:pPr>
                    <w:pStyle w:val="ListParagraph"/>
                    <w:numPr>
                      <w:ilvl w:val="0"/>
                      <w:numId w:val="10"/>
                    </w:numPr>
                    <w:tabs>
                      <w:tab w:val="left" w:pos="426"/>
                    </w:tabs>
                    <w:spacing w:after="120" w:line="256" w:lineRule="auto"/>
                    <w:ind w:left="389"/>
                  </w:pPr>
                  <w:r>
                    <w:t xml:space="preserve">Improve our data collection to help us understand barriers and opportunities to recruiting, retaining and developing talented people from diverse backgrounds. </w:t>
                  </w:r>
                </w:p>
                <w:p w14:paraId="65256A35" w14:textId="10C1237C" w:rsidR="00504B3A" w:rsidRDefault="00504B3A" w:rsidP="00081AB7">
                  <w:pPr>
                    <w:pStyle w:val="ListParagraph"/>
                    <w:numPr>
                      <w:ilvl w:val="0"/>
                      <w:numId w:val="10"/>
                    </w:numPr>
                    <w:spacing w:after="160" w:line="259" w:lineRule="auto"/>
                    <w:ind w:left="389"/>
                  </w:pPr>
                  <w:r>
                    <w:t>Continue to include the ethnicity and disability pay gap in our annual reporting and implement actions to close these gaps</w:t>
                  </w:r>
                </w:p>
                <w:p w14:paraId="3168AA52" w14:textId="55DD87F3" w:rsidR="00081AB7" w:rsidRDefault="00081AB7" w:rsidP="00081AB7">
                  <w:pPr>
                    <w:pStyle w:val="ListParagraph"/>
                    <w:numPr>
                      <w:ilvl w:val="0"/>
                      <w:numId w:val="10"/>
                    </w:numPr>
                    <w:tabs>
                      <w:tab w:val="left" w:pos="426"/>
                    </w:tabs>
                    <w:spacing w:after="120" w:line="256" w:lineRule="auto"/>
                    <w:ind w:left="389"/>
                  </w:pPr>
                  <w:r>
                    <w:t>Empower employees to create staff networks that represent the interest and experiences of those with protected characteristics.</w:t>
                  </w:r>
                </w:p>
                <w:p w14:paraId="523A6805" w14:textId="4A4D6C92" w:rsidR="009B05A1" w:rsidRPr="009B05A1" w:rsidRDefault="009B05A1" w:rsidP="00081AB7">
                  <w:pPr>
                    <w:pStyle w:val="ListParagraph"/>
                    <w:numPr>
                      <w:ilvl w:val="0"/>
                      <w:numId w:val="10"/>
                    </w:numPr>
                    <w:spacing w:after="160" w:line="259" w:lineRule="auto"/>
                    <w:ind w:left="389"/>
                  </w:pPr>
                  <w:r>
                    <w:t xml:space="preserve">Promote </w:t>
                  </w:r>
                  <w:r w:rsidRPr="009B05A1">
                    <w:t xml:space="preserve">flexible working </w:t>
                  </w:r>
                  <w:r>
                    <w:t>arrangements</w:t>
                  </w:r>
                </w:p>
                <w:p w14:paraId="7B3ACC86" w14:textId="404F0329" w:rsidR="009B05A1" w:rsidRPr="009B05A1" w:rsidRDefault="009B05A1" w:rsidP="00081AB7">
                  <w:pPr>
                    <w:pStyle w:val="ListParagraph"/>
                    <w:numPr>
                      <w:ilvl w:val="0"/>
                      <w:numId w:val="10"/>
                    </w:numPr>
                    <w:spacing w:after="160" w:line="259" w:lineRule="auto"/>
                    <w:ind w:left="389"/>
                  </w:pPr>
                  <w:r w:rsidRPr="009B05A1">
                    <w:t xml:space="preserve">Provide </w:t>
                  </w:r>
                  <w:r>
                    <w:t xml:space="preserve">apprenticeships, </w:t>
                  </w:r>
                  <w:r w:rsidRPr="009B05A1">
                    <w:t xml:space="preserve">coaching and mentoring </w:t>
                  </w:r>
                  <w:r>
                    <w:t xml:space="preserve">and secondment opportunities </w:t>
                  </w:r>
                </w:p>
                <w:p w14:paraId="1DF2ED96" w14:textId="073D82C0" w:rsidR="00D50626" w:rsidRPr="00AE210C" w:rsidRDefault="00D50626" w:rsidP="00081AB7">
                  <w:pPr>
                    <w:pStyle w:val="ListParagraph"/>
                    <w:numPr>
                      <w:ilvl w:val="0"/>
                      <w:numId w:val="10"/>
                    </w:numPr>
                    <w:spacing w:after="160" w:line="259" w:lineRule="auto"/>
                    <w:ind w:left="389"/>
                  </w:pPr>
                  <w:r>
                    <w:t>Staff training and development</w:t>
                  </w:r>
                  <w:r w:rsidR="00914C48">
                    <w:t xml:space="preserve"> around equalities issues</w:t>
                  </w:r>
                  <w:r w:rsidR="00BC20A4">
                    <w:t xml:space="preserve"> including un/conscious bias and challenging different forms of discrimination</w:t>
                  </w:r>
                </w:p>
                <w:p w14:paraId="28668DCA" w14:textId="77777777" w:rsidR="00CE4F78" w:rsidRPr="00AE210C" w:rsidRDefault="00700AB8" w:rsidP="00081AB7">
                  <w:pPr>
                    <w:pStyle w:val="ListParagraph"/>
                    <w:numPr>
                      <w:ilvl w:val="0"/>
                      <w:numId w:val="10"/>
                    </w:numPr>
                    <w:spacing w:after="160" w:line="259" w:lineRule="auto"/>
                    <w:ind w:left="389"/>
                  </w:pPr>
                  <w:r w:rsidRPr="00AE210C">
                    <w:t>Implement a new inclusive Economic Strategy to increase the opportunities for disadvantaged groups to have a fair share in the city’s economy</w:t>
                  </w:r>
                </w:p>
                <w:p w14:paraId="55B4D2DF" w14:textId="46CF1F99" w:rsidR="00CE4F78" w:rsidRPr="00CE4F78" w:rsidRDefault="00CE4F78" w:rsidP="00081AB7">
                  <w:pPr>
                    <w:pStyle w:val="ListParagraph"/>
                    <w:numPr>
                      <w:ilvl w:val="0"/>
                      <w:numId w:val="10"/>
                    </w:numPr>
                    <w:spacing w:after="160" w:line="259" w:lineRule="auto"/>
                    <w:ind w:left="389"/>
                  </w:pPr>
                  <w:r w:rsidRPr="00AE210C">
                    <w:lastRenderedPageBreak/>
                    <w:t>Use our influence to ensure Oxford’s diversity is celebrated and communities are more cohesive</w:t>
                  </w:r>
                </w:p>
              </w:tc>
            </w:tr>
            <w:tr w:rsidR="00C05DB0" w:rsidRPr="006848C3" w14:paraId="5F8579CC" w14:textId="77777777" w:rsidTr="00967B90">
              <w:tc>
                <w:tcPr>
                  <w:tcW w:w="5344" w:type="dxa"/>
                </w:tcPr>
                <w:p w14:paraId="501A1E3F" w14:textId="1D265E5C" w:rsidR="00C05DB0" w:rsidRPr="000A44CE" w:rsidRDefault="0008139C" w:rsidP="00C05DB0">
                  <w:pPr>
                    <w:rPr>
                      <w:rFonts w:ascii="Arial" w:hAnsi="Arial" w:cs="Arial"/>
                      <w:szCs w:val="20"/>
                      <w:lang w:eastAsia="en-US"/>
                    </w:rPr>
                  </w:pPr>
                  <w:r>
                    <w:rPr>
                      <w:rFonts w:ascii="Arial" w:hAnsi="Arial" w:cs="Arial"/>
                      <w:szCs w:val="20"/>
                      <w:lang w:eastAsia="en-US"/>
                    </w:rPr>
                    <w:lastRenderedPageBreak/>
                    <w:t xml:space="preserve">Some groups are unaware there is </w:t>
                  </w:r>
                  <w:r w:rsidRPr="00C12BF0">
                    <w:rPr>
                      <w:rFonts w:ascii="Arial" w:hAnsi="Arial" w:cs="Arial"/>
                      <w:b/>
                      <w:szCs w:val="20"/>
                      <w:lang w:eastAsia="en-US"/>
                    </w:rPr>
                    <w:t>grant funding</w:t>
                  </w:r>
                  <w:r>
                    <w:rPr>
                      <w:rFonts w:ascii="Arial" w:hAnsi="Arial" w:cs="Arial"/>
                      <w:szCs w:val="20"/>
                      <w:lang w:eastAsia="en-US"/>
                    </w:rPr>
                    <w:t xml:space="preserve"> available </w:t>
                  </w:r>
                  <w:r w:rsidR="000852E2">
                    <w:rPr>
                      <w:rFonts w:ascii="Arial" w:hAnsi="Arial" w:cs="Arial"/>
                      <w:szCs w:val="20"/>
                      <w:lang w:eastAsia="en-US"/>
                    </w:rPr>
                    <w:t>–</w:t>
                  </w:r>
                  <w:r>
                    <w:rPr>
                      <w:rFonts w:ascii="Arial" w:hAnsi="Arial" w:cs="Arial"/>
                      <w:szCs w:val="20"/>
                      <w:lang w:eastAsia="en-US"/>
                    </w:rPr>
                    <w:t xml:space="preserve"> a</w:t>
                  </w:r>
                  <w:r w:rsidR="00C05DB0" w:rsidRPr="000A44CE">
                    <w:rPr>
                      <w:rFonts w:ascii="Arial" w:hAnsi="Arial" w:cs="Arial"/>
                      <w:szCs w:val="20"/>
                      <w:lang w:eastAsia="en-US"/>
                    </w:rPr>
                    <w:t xml:space="preserve">pplication </w:t>
                  </w:r>
                  <w:r w:rsidR="00EC5B12" w:rsidRPr="000A44CE">
                    <w:rPr>
                      <w:rFonts w:ascii="Arial" w:hAnsi="Arial" w:cs="Arial"/>
                      <w:szCs w:val="20"/>
                      <w:lang w:eastAsia="en-US"/>
                    </w:rPr>
                    <w:t xml:space="preserve">and monitoring </w:t>
                  </w:r>
                  <w:r w:rsidR="00C05DB0" w:rsidRPr="000A44CE">
                    <w:rPr>
                      <w:rFonts w:ascii="Arial" w:hAnsi="Arial" w:cs="Arial"/>
                      <w:szCs w:val="20"/>
                      <w:lang w:eastAsia="en-US"/>
                    </w:rPr>
                    <w:t xml:space="preserve">processes have been a barrier to access </w:t>
                  </w:r>
                  <w:r w:rsidR="000A44CE" w:rsidRPr="000A44CE">
                    <w:rPr>
                      <w:rFonts w:ascii="Arial" w:hAnsi="Arial" w:cs="Arial"/>
                      <w:szCs w:val="20"/>
                      <w:lang w:eastAsia="en-US"/>
                    </w:rPr>
                    <w:t xml:space="preserve">to grant funding </w:t>
                  </w:r>
                  <w:r w:rsidR="00C05DB0" w:rsidRPr="000A44CE">
                    <w:rPr>
                      <w:rFonts w:ascii="Arial" w:hAnsi="Arial" w:cs="Arial"/>
                      <w:szCs w:val="20"/>
                      <w:lang w:eastAsia="en-US"/>
                    </w:rPr>
                    <w:t>for some groups</w:t>
                  </w:r>
                  <w:r w:rsidR="00B81299">
                    <w:rPr>
                      <w:rFonts w:ascii="Arial" w:hAnsi="Arial" w:cs="Arial"/>
                      <w:szCs w:val="20"/>
                      <w:lang w:eastAsia="en-US"/>
                    </w:rPr>
                    <w:t>,</w:t>
                  </w:r>
                  <w:r w:rsidR="00C05DB0" w:rsidRPr="000A44CE">
                    <w:rPr>
                      <w:rFonts w:ascii="Arial" w:hAnsi="Arial" w:cs="Arial"/>
                      <w:szCs w:val="20"/>
                      <w:lang w:eastAsia="en-US"/>
                    </w:rPr>
                    <w:t xml:space="preserve"> including those for whom English isn’t their first language</w:t>
                  </w:r>
                </w:p>
              </w:tc>
              <w:tc>
                <w:tcPr>
                  <w:tcW w:w="5345" w:type="dxa"/>
                </w:tcPr>
                <w:p w14:paraId="7BA80538" w14:textId="77777777" w:rsidR="000A44CE" w:rsidRPr="00C42C7C" w:rsidRDefault="000A44CE" w:rsidP="00C42C7C">
                  <w:pPr>
                    <w:rPr>
                      <w:rFonts w:ascii="Arial" w:hAnsi="Arial" w:cs="Arial"/>
                      <w:b/>
                      <w:szCs w:val="20"/>
                    </w:rPr>
                  </w:pPr>
                  <w:r w:rsidRPr="00C42C7C">
                    <w:rPr>
                      <w:rFonts w:ascii="Arial" w:hAnsi="Arial" w:cs="Arial"/>
                      <w:b/>
                      <w:szCs w:val="20"/>
                    </w:rPr>
                    <w:t xml:space="preserve">Grant Review </w:t>
                  </w:r>
                </w:p>
                <w:p w14:paraId="4195E1D0" w14:textId="77777777" w:rsidR="0008139C" w:rsidRPr="0008139C" w:rsidRDefault="0008139C" w:rsidP="0008139C">
                  <w:pPr>
                    <w:pStyle w:val="ListParagraph"/>
                    <w:numPr>
                      <w:ilvl w:val="0"/>
                      <w:numId w:val="14"/>
                    </w:numPr>
                    <w:ind w:left="417"/>
                    <w:rPr>
                      <w:szCs w:val="20"/>
                    </w:rPr>
                  </w:pPr>
                  <w:r w:rsidRPr="0008139C">
                    <w:rPr>
                      <w:szCs w:val="20"/>
                    </w:rPr>
                    <w:t>Promote funding calls more widely targeting  underrepresented groups</w:t>
                  </w:r>
                </w:p>
                <w:p w14:paraId="2E04C613" w14:textId="77777777" w:rsidR="0008139C" w:rsidRPr="0008139C" w:rsidRDefault="0008139C" w:rsidP="0008139C">
                  <w:pPr>
                    <w:pStyle w:val="ListParagraph"/>
                    <w:numPr>
                      <w:ilvl w:val="0"/>
                      <w:numId w:val="14"/>
                    </w:numPr>
                    <w:ind w:left="417"/>
                    <w:rPr>
                      <w:szCs w:val="20"/>
                    </w:rPr>
                  </w:pPr>
                  <w:r w:rsidRPr="0008139C">
                    <w:rPr>
                      <w:szCs w:val="20"/>
                    </w:rPr>
                    <w:t>Run regular funding surgeries – moving around the locality areas – to help promote and support</w:t>
                  </w:r>
                </w:p>
                <w:p w14:paraId="082F94C2" w14:textId="77777777" w:rsidR="0008139C" w:rsidRPr="0008139C" w:rsidRDefault="0008139C" w:rsidP="0008139C">
                  <w:pPr>
                    <w:pStyle w:val="ListParagraph"/>
                    <w:numPr>
                      <w:ilvl w:val="0"/>
                      <w:numId w:val="14"/>
                    </w:numPr>
                    <w:ind w:left="417"/>
                    <w:rPr>
                      <w:szCs w:val="20"/>
                    </w:rPr>
                  </w:pPr>
                  <w:r w:rsidRPr="0008139C">
                    <w:rPr>
                      <w:szCs w:val="20"/>
                    </w:rPr>
                    <w:t>Actively promote the grants programme and its benefits at diverse events in the city e.g. Cowley Road Carnival, Pride etc.</w:t>
                  </w:r>
                </w:p>
                <w:p w14:paraId="24A5D98D" w14:textId="77777777" w:rsidR="0008139C" w:rsidRPr="0008139C" w:rsidRDefault="0008139C" w:rsidP="0008139C">
                  <w:pPr>
                    <w:pStyle w:val="ListParagraph"/>
                    <w:numPr>
                      <w:ilvl w:val="0"/>
                      <w:numId w:val="13"/>
                    </w:numPr>
                    <w:ind w:left="417"/>
                    <w:rPr>
                      <w:szCs w:val="20"/>
                    </w:rPr>
                  </w:pPr>
                  <w:r w:rsidRPr="0008139C">
                    <w:rPr>
                      <w:szCs w:val="20"/>
                    </w:rPr>
                    <w:t>Identify community based equalities champions to help promote</w:t>
                  </w:r>
                </w:p>
                <w:p w14:paraId="150741AA" w14:textId="0997AEDF" w:rsidR="00C05DB0" w:rsidRPr="000A44CE" w:rsidRDefault="00C05DB0" w:rsidP="0008139C">
                  <w:pPr>
                    <w:pStyle w:val="ListParagraph"/>
                    <w:numPr>
                      <w:ilvl w:val="0"/>
                      <w:numId w:val="13"/>
                    </w:numPr>
                    <w:ind w:left="417"/>
                    <w:rPr>
                      <w:szCs w:val="20"/>
                    </w:rPr>
                  </w:pPr>
                  <w:r w:rsidRPr="000A44CE">
                    <w:rPr>
                      <w:szCs w:val="20"/>
                    </w:rPr>
                    <w:t>Streamline paperwork for application and monitoring</w:t>
                  </w:r>
                </w:p>
                <w:p w14:paraId="526EC404" w14:textId="77777777" w:rsidR="00AD1C56" w:rsidRPr="000A44CE" w:rsidRDefault="00AD1C56" w:rsidP="00550F86">
                  <w:pPr>
                    <w:pStyle w:val="ListParagraph"/>
                    <w:numPr>
                      <w:ilvl w:val="0"/>
                      <w:numId w:val="13"/>
                    </w:numPr>
                    <w:ind w:left="417"/>
                    <w:rPr>
                      <w:szCs w:val="20"/>
                    </w:rPr>
                  </w:pPr>
                  <w:r w:rsidRPr="000A44CE">
                    <w:rPr>
                      <w:szCs w:val="20"/>
                    </w:rPr>
                    <w:t>Use plain English and avoid jargon</w:t>
                  </w:r>
                  <w:r w:rsidR="009E300C" w:rsidRPr="000A44CE">
                    <w:rPr>
                      <w:szCs w:val="20"/>
                    </w:rPr>
                    <w:t xml:space="preserve"> </w:t>
                  </w:r>
                </w:p>
                <w:p w14:paraId="7E629C33" w14:textId="77777777" w:rsidR="00C05DB0" w:rsidRPr="000A44CE" w:rsidRDefault="00C05DB0" w:rsidP="00550F86">
                  <w:pPr>
                    <w:pStyle w:val="ListParagraph"/>
                    <w:numPr>
                      <w:ilvl w:val="0"/>
                      <w:numId w:val="13"/>
                    </w:numPr>
                    <w:ind w:left="417"/>
                    <w:rPr>
                      <w:szCs w:val="20"/>
                    </w:rPr>
                  </w:pPr>
                  <w:r w:rsidRPr="000A44CE">
                    <w:rPr>
                      <w:szCs w:val="20"/>
                    </w:rPr>
                    <w:t xml:space="preserve">Allow applications </w:t>
                  </w:r>
                  <w:r w:rsidR="00EC5B12" w:rsidRPr="000A44CE">
                    <w:rPr>
                      <w:szCs w:val="20"/>
                    </w:rPr>
                    <w:t xml:space="preserve">and monitoring information </w:t>
                  </w:r>
                  <w:r w:rsidRPr="000A44CE">
                    <w:rPr>
                      <w:szCs w:val="20"/>
                    </w:rPr>
                    <w:t xml:space="preserve">to be made in different </w:t>
                  </w:r>
                  <w:r w:rsidR="00C5402A" w:rsidRPr="000A44CE">
                    <w:rPr>
                      <w:szCs w:val="20"/>
                    </w:rPr>
                    <w:t xml:space="preserve">ways including different </w:t>
                  </w:r>
                  <w:r w:rsidRPr="000A44CE">
                    <w:rPr>
                      <w:szCs w:val="20"/>
                    </w:rPr>
                    <w:t xml:space="preserve">languages and </w:t>
                  </w:r>
                  <w:r w:rsidR="00C5402A" w:rsidRPr="000A44CE">
                    <w:rPr>
                      <w:szCs w:val="20"/>
                    </w:rPr>
                    <w:t xml:space="preserve">different formats e.g. </w:t>
                  </w:r>
                  <w:r w:rsidRPr="000A44CE">
                    <w:rPr>
                      <w:szCs w:val="20"/>
                    </w:rPr>
                    <w:t>video submissions</w:t>
                  </w:r>
                </w:p>
                <w:p w14:paraId="280F4D0F" w14:textId="77777777" w:rsidR="00495BA4" w:rsidRPr="000A44CE" w:rsidRDefault="00C05DB0" w:rsidP="00550F86">
                  <w:pPr>
                    <w:pStyle w:val="ListParagraph"/>
                    <w:numPr>
                      <w:ilvl w:val="0"/>
                      <w:numId w:val="13"/>
                    </w:numPr>
                    <w:ind w:left="417"/>
                    <w:rPr>
                      <w:szCs w:val="20"/>
                    </w:rPr>
                  </w:pPr>
                  <w:r w:rsidRPr="000A44CE">
                    <w:rPr>
                      <w:szCs w:val="20"/>
                    </w:rPr>
                    <w:t xml:space="preserve">Develop online grant application and management system </w:t>
                  </w:r>
                  <w:r w:rsidR="00C5402A" w:rsidRPr="000A44CE">
                    <w:rPr>
                      <w:szCs w:val="20"/>
                    </w:rPr>
                    <w:t>with support prompts</w:t>
                  </w:r>
                </w:p>
                <w:p w14:paraId="6E0C0E17" w14:textId="77777777" w:rsidR="00495BA4" w:rsidRPr="000A44CE" w:rsidRDefault="00495BA4" w:rsidP="00747F9C">
                  <w:pPr>
                    <w:pStyle w:val="ListParagraph"/>
                    <w:numPr>
                      <w:ilvl w:val="0"/>
                      <w:numId w:val="13"/>
                    </w:numPr>
                    <w:ind w:left="417"/>
                    <w:rPr>
                      <w:szCs w:val="20"/>
                    </w:rPr>
                  </w:pPr>
                  <w:r w:rsidRPr="000A44CE">
                    <w:t xml:space="preserve">Provide more coaching and support for CVS </w:t>
                  </w:r>
                  <w:r w:rsidR="00F00884" w:rsidRPr="000A44CE">
                    <w:t xml:space="preserve">including equalities led groups </w:t>
                  </w:r>
                  <w:r w:rsidRPr="000A44CE">
                    <w:t>to build capacity</w:t>
                  </w:r>
                  <w:r w:rsidR="00550F86" w:rsidRPr="000A44CE">
                    <w:t>/skills</w:t>
                  </w:r>
                  <w:r w:rsidRPr="000A44CE">
                    <w:t xml:space="preserve"> </w:t>
                  </w:r>
                  <w:r w:rsidR="00EC5B12" w:rsidRPr="000A44CE">
                    <w:t>via funding surgeries and learning sessions</w:t>
                  </w:r>
                </w:p>
              </w:tc>
            </w:tr>
            <w:tr w:rsidR="00D11BA6" w:rsidRPr="006848C3" w14:paraId="0FEAA045" w14:textId="77777777" w:rsidTr="005F0930">
              <w:tc>
                <w:tcPr>
                  <w:tcW w:w="5344" w:type="dxa"/>
                </w:tcPr>
                <w:p w14:paraId="4369EE89" w14:textId="487E5519" w:rsidR="00D11BA6" w:rsidRPr="006848C3" w:rsidRDefault="0034284F" w:rsidP="001E42DC">
                  <w:pPr>
                    <w:rPr>
                      <w:rFonts w:ascii="Arial" w:hAnsi="Arial" w:cs="Arial"/>
                      <w:szCs w:val="20"/>
                      <w:highlight w:val="yellow"/>
                      <w:lang w:eastAsia="en-US"/>
                    </w:rPr>
                  </w:pPr>
                  <w:r w:rsidRPr="005A2BD2">
                    <w:rPr>
                      <w:rFonts w:ascii="Arial" w:hAnsi="Arial" w:cs="Arial"/>
                      <w:szCs w:val="20"/>
                      <w:lang w:eastAsia="en-US"/>
                    </w:rPr>
                    <w:t xml:space="preserve">While there is a lot of diversity in the city, people live and work in </w:t>
                  </w:r>
                  <w:r w:rsidRPr="00C12BF0">
                    <w:rPr>
                      <w:rFonts w:ascii="Arial" w:hAnsi="Arial" w:cs="Arial"/>
                      <w:b/>
                      <w:szCs w:val="20"/>
                      <w:lang w:eastAsia="en-US"/>
                    </w:rPr>
                    <w:t>siloed communities</w:t>
                  </w:r>
                  <w:r w:rsidRPr="005A2BD2">
                    <w:rPr>
                      <w:rFonts w:ascii="Arial" w:hAnsi="Arial" w:cs="Arial"/>
                      <w:szCs w:val="20"/>
                      <w:lang w:eastAsia="en-US"/>
                    </w:rPr>
                    <w:t xml:space="preserve"> which are not mixing – the </w:t>
                  </w:r>
                  <w:r w:rsidRPr="00C12BF0">
                    <w:rPr>
                      <w:rFonts w:ascii="Arial" w:hAnsi="Arial" w:cs="Arial"/>
                      <w:b/>
                      <w:szCs w:val="20"/>
                      <w:lang w:eastAsia="en-US"/>
                    </w:rPr>
                    <w:t>town and gown</w:t>
                  </w:r>
                  <w:r w:rsidRPr="005A2BD2">
                    <w:rPr>
                      <w:rFonts w:ascii="Arial" w:hAnsi="Arial" w:cs="Arial"/>
                      <w:szCs w:val="20"/>
                      <w:lang w:eastAsia="en-US"/>
                    </w:rPr>
                    <w:t xml:space="preserve"> divide still exists </w:t>
                  </w:r>
                  <w:r w:rsidR="00786F7C">
                    <w:rPr>
                      <w:rFonts w:ascii="Arial" w:hAnsi="Arial" w:cs="Arial"/>
                    </w:rPr>
                    <w:t>and if</w:t>
                  </w:r>
                  <w:r w:rsidR="00786F7C" w:rsidRPr="006E1E74">
                    <w:rPr>
                      <w:rFonts w:ascii="Arial" w:hAnsi="Arial" w:cs="Arial"/>
                    </w:rPr>
                    <w:t xml:space="preserve"> you scratch beneath the surface there</w:t>
                  </w:r>
                  <w:r w:rsidR="001E42DC">
                    <w:rPr>
                      <w:rFonts w:ascii="Arial" w:hAnsi="Arial" w:cs="Arial"/>
                    </w:rPr>
                    <w:t xml:space="preserve"> are tensions between different</w:t>
                  </w:r>
                  <w:r w:rsidR="00786F7C" w:rsidRPr="006E1E74">
                    <w:rPr>
                      <w:rFonts w:ascii="Arial" w:hAnsi="Arial" w:cs="Arial"/>
                    </w:rPr>
                    <w:t xml:space="preserve"> groups </w:t>
                  </w:r>
                </w:p>
              </w:tc>
              <w:tc>
                <w:tcPr>
                  <w:tcW w:w="5345" w:type="dxa"/>
                </w:tcPr>
                <w:p w14:paraId="3D12E4CF" w14:textId="4537A447" w:rsidR="0034284F" w:rsidRPr="00801A3A" w:rsidRDefault="0034284F" w:rsidP="0034284F">
                  <w:pPr>
                    <w:rPr>
                      <w:rFonts w:ascii="Arial" w:hAnsi="Arial" w:cs="Arial"/>
                      <w:b/>
                      <w:szCs w:val="20"/>
                    </w:rPr>
                  </w:pPr>
                  <w:r w:rsidRPr="00801A3A">
                    <w:rPr>
                      <w:rFonts w:ascii="Arial" w:hAnsi="Arial" w:cs="Arial"/>
                      <w:b/>
                      <w:szCs w:val="20"/>
                    </w:rPr>
                    <w:t>Thriving Communities Strategy</w:t>
                  </w:r>
                </w:p>
                <w:p w14:paraId="3CC461E7" w14:textId="77777777" w:rsidR="00D11BA6" w:rsidRDefault="0034284F" w:rsidP="004815D5">
                  <w:pPr>
                    <w:pStyle w:val="ListParagraph"/>
                    <w:numPr>
                      <w:ilvl w:val="0"/>
                      <w:numId w:val="14"/>
                    </w:numPr>
                    <w:spacing w:after="160" w:line="259" w:lineRule="auto"/>
                    <w:ind w:left="389"/>
                  </w:pPr>
                  <w:r w:rsidRPr="00CD47F1">
                    <w:t xml:space="preserve">Deliver  services, grants, community and leisure facilities, parks and cultural events that help reduce </w:t>
                  </w:r>
                  <w:r w:rsidR="005A2BD2">
                    <w:t xml:space="preserve">inequality and </w:t>
                  </w:r>
                  <w:r w:rsidRPr="00CD47F1">
                    <w:t xml:space="preserve">increase </w:t>
                  </w:r>
                  <w:r w:rsidR="007F6410">
                    <w:t xml:space="preserve">intercultural understanding and </w:t>
                  </w:r>
                  <w:r w:rsidRPr="00CD47F1">
                    <w:t>cohesion across Oxford’s communities</w:t>
                  </w:r>
                </w:p>
                <w:p w14:paraId="7825E970" w14:textId="77777777" w:rsidR="004815D5" w:rsidRDefault="004815D5" w:rsidP="004815D5">
                  <w:pPr>
                    <w:pStyle w:val="ListParagraph"/>
                    <w:numPr>
                      <w:ilvl w:val="0"/>
                      <w:numId w:val="14"/>
                    </w:numPr>
                    <w:spacing w:after="160" w:line="256" w:lineRule="auto"/>
                    <w:ind w:left="389"/>
                  </w:pPr>
                  <w:r w:rsidRPr="004815D5">
                    <w:rPr>
                      <w:bCs/>
                    </w:rPr>
                    <w:lastRenderedPageBreak/>
                    <w:t>Promote partnership working:</w:t>
                  </w:r>
                  <w:r>
                    <w:t xml:space="preserve"> use our relationships to work together and connect different communities, so that we can jointly address issues and celebrate strengths</w:t>
                  </w:r>
                </w:p>
                <w:p w14:paraId="700877D9" w14:textId="2A8ABEBB" w:rsidR="00F56C74" w:rsidRPr="0034284F" w:rsidRDefault="00F56C74" w:rsidP="004815D5">
                  <w:pPr>
                    <w:pStyle w:val="ListParagraph"/>
                    <w:numPr>
                      <w:ilvl w:val="0"/>
                      <w:numId w:val="14"/>
                    </w:numPr>
                    <w:spacing w:after="160" w:line="256" w:lineRule="auto"/>
                    <w:ind w:left="389"/>
                  </w:pPr>
                  <w:r>
                    <w:t>Help to build community capacity to lead and participate in projects that benefit or affect their communitie</w:t>
                  </w:r>
                  <w:r w:rsidR="005E59A7">
                    <w:t>s</w:t>
                  </w:r>
                </w:p>
              </w:tc>
            </w:tr>
            <w:tr w:rsidR="00D11BA6" w:rsidRPr="006848C3" w14:paraId="6B19403E" w14:textId="77777777" w:rsidTr="005F0930">
              <w:tc>
                <w:tcPr>
                  <w:tcW w:w="5344" w:type="dxa"/>
                </w:tcPr>
                <w:p w14:paraId="371321DA" w14:textId="5F790137" w:rsidR="00D11BA6" w:rsidRPr="006848C3" w:rsidRDefault="00F11328" w:rsidP="005F0930">
                  <w:pPr>
                    <w:rPr>
                      <w:rFonts w:ascii="Arial" w:hAnsi="Arial" w:cs="Arial"/>
                      <w:szCs w:val="20"/>
                      <w:highlight w:val="yellow"/>
                      <w:lang w:eastAsia="en-US"/>
                    </w:rPr>
                  </w:pPr>
                  <w:r w:rsidRPr="00C12BF0">
                    <w:rPr>
                      <w:rFonts w:ascii="Arial" w:hAnsi="Arial" w:cs="Arial"/>
                      <w:b/>
                      <w:szCs w:val="20"/>
                      <w:lang w:eastAsia="en-US"/>
                    </w:rPr>
                    <w:lastRenderedPageBreak/>
                    <w:t>Housing is unaffordable</w:t>
                  </w:r>
                  <w:r w:rsidRPr="00F11328">
                    <w:rPr>
                      <w:rFonts w:ascii="Arial" w:hAnsi="Arial" w:cs="Arial"/>
                      <w:szCs w:val="20"/>
                      <w:lang w:eastAsia="en-US"/>
                    </w:rPr>
                    <w:t xml:space="preserve"> for most people in the city</w:t>
                  </w:r>
                </w:p>
              </w:tc>
              <w:tc>
                <w:tcPr>
                  <w:tcW w:w="5345" w:type="dxa"/>
                </w:tcPr>
                <w:p w14:paraId="5F35C4B7" w14:textId="77777777" w:rsidR="007F7C12" w:rsidRDefault="00F11328" w:rsidP="007F7C12">
                  <w:pPr>
                    <w:rPr>
                      <w:rFonts w:ascii="Arial" w:hAnsi="Arial" w:cs="Arial"/>
                      <w:b/>
                      <w:szCs w:val="20"/>
                    </w:rPr>
                  </w:pPr>
                  <w:r w:rsidRPr="00F11328">
                    <w:rPr>
                      <w:rFonts w:ascii="Arial" w:hAnsi="Arial" w:cs="Arial"/>
                      <w:b/>
                      <w:szCs w:val="20"/>
                    </w:rPr>
                    <w:t>Housing, Homelessness and Rough Sleeping Strategy</w:t>
                  </w:r>
                </w:p>
                <w:p w14:paraId="4B907B41" w14:textId="77777777" w:rsidR="00E4181E" w:rsidRPr="00E4181E" w:rsidRDefault="007F7C12" w:rsidP="00E4181E">
                  <w:pPr>
                    <w:pStyle w:val="ListParagraph"/>
                    <w:numPr>
                      <w:ilvl w:val="0"/>
                      <w:numId w:val="14"/>
                    </w:numPr>
                    <w:ind w:left="389"/>
                    <w:rPr>
                      <w:szCs w:val="20"/>
                    </w:rPr>
                  </w:pPr>
                  <w:r w:rsidRPr="007F7C12">
                    <w:rPr>
                      <w:bCs/>
                    </w:rPr>
                    <w:t>Deliver more, affordable housing</w:t>
                  </w:r>
                  <w:r w:rsidRPr="007F7C12">
                    <w:t>, to address Oxford’s housing crisis where existing homes are unaffordable for many and demand for good quality homes outstrips what is available</w:t>
                  </w:r>
                </w:p>
                <w:p w14:paraId="78C650DE" w14:textId="7AEFA84D" w:rsidR="00D11BA6" w:rsidRPr="00AC6468" w:rsidRDefault="00E4181E" w:rsidP="00AC6468">
                  <w:pPr>
                    <w:pStyle w:val="ListParagraph"/>
                    <w:numPr>
                      <w:ilvl w:val="0"/>
                      <w:numId w:val="14"/>
                    </w:numPr>
                    <w:ind w:left="389"/>
                    <w:rPr>
                      <w:szCs w:val="20"/>
                    </w:rPr>
                  </w:pPr>
                  <w:r w:rsidRPr="00E4181E">
                    <w:t>Ensure our Housing, Homelessness and Rough Sleeping Strategy continues to meet community needs for housing</w:t>
                  </w:r>
                  <w:r>
                    <w:t xml:space="preserve"> for specific groups</w:t>
                  </w:r>
                  <w:r w:rsidRPr="00E4181E">
                    <w:t xml:space="preserve">, including disability needs, family housing needs and </w:t>
                  </w:r>
                  <w:r>
                    <w:t xml:space="preserve">those at </w:t>
                  </w:r>
                  <w:r w:rsidRPr="00E4181E">
                    <w:t xml:space="preserve">risk of homelessness. </w:t>
                  </w:r>
                </w:p>
              </w:tc>
            </w:tr>
            <w:tr w:rsidR="00C05DB0" w:rsidRPr="006848C3" w14:paraId="3EF13598" w14:textId="77777777" w:rsidTr="00967B90">
              <w:tc>
                <w:tcPr>
                  <w:tcW w:w="5344" w:type="dxa"/>
                </w:tcPr>
                <w:p w14:paraId="1E9E6140" w14:textId="14003454" w:rsidR="00C05DB0" w:rsidRPr="006848C3" w:rsidRDefault="00451EC5" w:rsidP="00451EC5">
                  <w:pPr>
                    <w:rPr>
                      <w:rFonts w:ascii="Arial" w:hAnsi="Arial" w:cs="Arial"/>
                      <w:szCs w:val="20"/>
                      <w:highlight w:val="yellow"/>
                      <w:lang w:eastAsia="en-US"/>
                    </w:rPr>
                  </w:pPr>
                  <w:r w:rsidRPr="00D80CBE">
                    <w:rPr>
                      <w:rFonts w:ascii="Arial" w:hAnsi="Arial" w:cs="Arial"/>
                      <w:szCs w:val="20"/>
                      <w:lang w:eastAsia="en-US"/>
                    </w:rPr>
                    <w:t xml:space="preserve">Some communities are disproportionately affected by </w:t>
                  </w:r>
                  <w:r w:rsidR="00D80CBE" w:rsidRPr="00C12BF0">
                    <w:rPr>
                      <w:rFonts w:ascii="Arial" w:hAnsi="Arial" w:cs="Arial"/>
                      <w:b/>
                      <w:szCs w:val="20"/>
                      <w:lang w:eastAsia="en-US"/>
                    </w:rPr>
                    <w:t xml:space="preserve">air </w:t>
                  </w:r>
                  <w:r w:rsidRPr="00C12BF0">
                    <w:rPr>
                      <w:rFonts w:ascii="Arial" w:hAnsi="Arial" w:cs="Arial"/>
                      <w:b/>
                      <w:szCs w:val="20"/>
                      <w:lang w:eastAsia="en-US"/>
                    </w:rPr>
                    <w:t>pollution</w:t>
                  </w:r>
                  <w:r w:rsidRPr="00D80CBE">
                    <w:rPr>
                      <w:rFonts w:ascii="Arial" w:hAnsi="Arial" w:cs="Arial"/>
                      <w:szCs w:val="20"/>
                      <w:lang w:eastAsia="en-US"/>
                    </w:rPr>
                    <w:t xml:space="preserve"> in the environment</w:t>
                  </w:r>
                </w:p>
              </w:tc>
              <w:tc>
                <w:tcPr>
                  <w:tcW w:w="5345" w:type="dxa"/>
                </w:tcPr>
                <w:p w14:paraId="075AEDA5" w14:textId="77777777" w:rsidR="009056A4" w:rsidRDefault="00451EC5" w:rsidP="009056A4">
                  <w:pPr>
                    <w:rPr>
                      <w:rFonts w:ascii="Arial" w:hAnsi="Arial" w:cs="Arial"/>
                      <w:b/>
                      <w:szCs w:val="20"/>
                    </w:rPr>
                  </w:pPr>
                  <w:r w:rsidRPr="00451EC5">
                    <w:rPr>
                      <w:rFonts w:ascii="Arial" w:hAnsi="Arial" w:cs="Arial"/>
                      <w:b/>
                      <w:szCs w:val="20"/>
                    </w:rPr>
                    <w:t>Zero Carbon Oxford</w:t>
                  </w:r>
                </w:p>
                <w:p w14:paraId="5306978F" w14:textId="2827D97B" w:rsidR="007C675C" w:rsidRPr="00D7793F" w:rsidRDefault="009056A4" w:rsidP="00D7793F">
                  <w:pPr>
                    <w:pStyle w:val="ListParagraph"/>
                    <w:numPr>
                      <w:ilvl w:val="0"/>
                      <w:numId w:val="21"/>
                    </w:numPr>
                    <w:ind w:left="389"/>
                    <w:rPr>
                      <w:szCs w:val="20"/>
                    </w:rPr>
                  </w:pPr>
                  <w:r w:rsidRPr="009056A4">
                    <w:rPr>
                      <w:bCs/>
                    </w:rPr>
                    <w:t>Pursue a zero carbon Oxford, </w:t>
                  </w:r>
                  <w:r w:rsidRPr="009056A4">
                    <w:t>acting on the clear message from Oxford’s Citizens’ Assembly on Climate Change to continue to take a lead in reducing emissions and increasing biodiversity</w:t>
                  </w:r>
                </w:p>
              </w:tc>
            </w:tr>
          </w:tbl>
          <w:p w14:paraId="44D2E9AD" w14:textId="77777777" w:rsidR="00A46F45" w:rsidRPr="006848C3" w:rsidRDefault="00A46F45" w:rsidP="00607E08">
            <w:pPr>
              <w:rPr>
                <w:rFonts w:ascii="Arial" w:hAnsi="Arial" w:cs="Arial"/>
                <w:b/>
                <w:szCs w:val="20"/>
                <w:highlight w:val="yellow"/>
                <w:lang w:eastAsia="en-US"/>
              </w:rPr>
            </w:pPr>
          </w:p>
          <w:p w14:paraId="6A5B64CB" w14:textId="77777777" w:rsidR="00607E08" w:rsidRPr="006848C3" w:rsidRDefault="00CF4F0B" w:rsidP="00CF4F0B">
            <w:pPr>
              <w:rPr>
                <w:rFonts w:ascii="Arial" w:hAnsi="Arial" w:cs="Arial"/>
                <w:szCs w:val="20"/>
                <w:highlight w:val="yellow"/>
                <w:lang w:eastAsia="en-US"/>
              </w:rPr>
            </w:pPr>
            <w:r w:rsidRPr="00CF4F0B">
              <w:rPr>
                <w:rFonts w:ascii="Arial" w:hAnsi="Arial" w:cs="Arial"/>
                <w:szCs w:val="20"/>
                <w:lang w:eastAsia="en-US"/>
              </w:rPr>
              <w:t>The next step is for the Strategy to be considered by the Corporate Management Team.</w:t>
            </w:r>
          </w:p>
        </w:tc>
      </w:tr>
      <w:tr w:rsidR="001F515A" w:rsidRPr="001F515A" w14:paraId="7BE5AD3A" w14:textId="77777777" w:rsidTr="00211C9A">
        <w:trPr>
          <w:trHeight w:val="3792"/>
          <w:jc w:val="center"/>
        </w:trPr>
        <w:tc>
          <w:tcPr>
            <w:tcW w:w="3539" w:type="dxa"/>
            <w:gridSpan w:val="3"/>
          </w:tcPr>
          <w:p w14:paraId="7D1EFC1E"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28BB0363" w14:textId="77777777"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14:paraId="297DA370" w14:textId="77777777" w:rsidR="001F515A" w:rsidRPr="001F515A" w:rsidRDefault="001F515A" w:rsidP="001F515A">
            <w:pPr>
              <w:rPr>
                <w:rFonts w:ascii="Arial" w:hAnsi="Arial" w:cs="Arial"/>
                <w:b/>
                <w:szCs w:val="20"/>
                <w:lang w:eastAsia="en-US"/>
              </w:rPr>
            </w:pPr>
          </w:p>
        </w:tc>
        <w:tc>
          <w:tcPr>
            <w:tcW w:w="11595" w:type="dxa"/>
            <w:gridSpan w:val="8"/>
          </w:tcPr>
          <w:p w14:paraId="53F3DB8C" w14:textId="77777777" w:rsidR="007070ED" w:rsidRPr="0006524C" w:rsidRDefault="007070ED" w:rsidP="00262814">
            <w:pPr>
              <w:rPr>
                <w:rFonts w:ascii="Arial" w:hAnsi="Arial" w:cs="Arial"/>
                <w:b/>
                <w:szCs w:val="20"/>
                <w:lang w:eastAsia="en-US"/>
              </w:rPr>
            </w:pPr>
          </w:p>
          <w:p w14:paraId="4D3A7E39"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6D66899B" w14:textId="77777777" w:rsidTr="00944A56">
              <w:tc>
                <w:tcPr>
                  <w:tcW w:w="3561" w:type="dxa"/>
                  <w:tcBorders>
                    <w:top w:val="single" w:sz="4" w:space="0" w:color="auto"/>
                  </w:tcBorders>
                </w:tcPr>
                <w:p w14:paraId="58092DEB"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733368B5"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1644EDE1"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3461C6F3" w14:textId="77777777" w:rsidTr="00081AFE">
              <w:trPr>
                <w:trHeight w:val="270"/>
              </w:trPr>
              <w:tc>
                <w:tcPr>
                  <w:tcW w:w="3561" w:type="dxa"/>
                  <w:tcBorders>
                    <w:bottom w:val="single" w:sz="4" w:space="0" w:color="auto"/>
                  </w:tcBorders>
                </w:tcPr>
                <w:p w14:paraId="11B9FA58" w14:textId="77777777" w:rsidR="00944A56" w:rsidRPr="00944A56" w:rsidRDefault="009F3826" w:rsidP="00944A56">
                  <w:pPr>
                    <w:jc w:val="center"/>
                    <w:rPr>
                      <w:rFonts w:ascii="Arial" w:hAnsi="Arial" w:cs="Arial"/>
                      <w:iCs/>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26C5BF56" w14:textId="77777777" w:rsidR="00944A56" w:rsidRPr="00944A56" w:rsidRDefault="009F3826" w:rsidP="0006524C">
                  <w:pPr>
                    <w:jc w:val="center"/>
                    <w:rPr>
                      <w:rFonts w:ascii="Arial" w:hAnsi="Arial" w:cs="Arial"/>
                      <w:iCs/>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0B4A1705" w14:textId="77777777" w:rsidR="00944A56" w:rsidRPr="00944A56" w:rsidRDefault="009F3826" w:rsidP="0006524C">
                  <w:pPr>
                    <w:jc w:val="center"/>
                    <w:rPr>
                      <w:rFonts w:ascii="Arial" w:hAnsi="Arial" w:cs="Arial"/>
                      <w:iCs/>
                      <w:szCs w:val="20"/>
                      <w:lang w:eastAsia="en-US"/>
                    </w:rPr>
                  </w:pPr>
                  <w:r>
                    <w:rPr>
                      <w:rFonts w:ascii="Arial" w:hAnsi="Arial" w:cs="Arial"/>
                      <w:iCs/>
                      <w:szCs w:val="20"/>
                      <w:lang w:eastAsia="en-US"/>
                    </w:rPr>
                    <w:t>Positive impact</w:t>
                  </w:r>
                </w:p>
              </w:tc>
            </w:tr>
            <w:tr w:rsidR="00944A56" w14:paraId="2B7B74C5" w14:textId="77777777" w:rsidTr="00944A56">
              <w:tc>
                <w:tcPr>
                  <w:tcW w:w="3561" w:type="dxa"/>
                  <w:tcBorders>
                    <w:top w:val="single" w:sz="4" w:space="0" w:color="auto"/>
                  </w:tcBorders>
                </w:tcPr>
                <w:p w14:paraId="261A3198"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55ED5B79"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14:paraId="0DDB2732"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5F1FD167" w14:textId="77777777" w:rsidTr="00944A56">
              <w:tc>
                <w:tcPr>
                  <w:tcW w:w="3561" w:type="dxa"/>
                  <w:tcBorders>
                    <w:bottom w:val="single" w:sz="4" w:space="0" w:color="auto"/>
                  </w:tcBorders>
                </w:tcPr>
                <w:p w14:paraId="3A3B679C" w14:textId="77777777" w:rsidR="00944A56" w:rsidRPr="00944A56" w:rsidRDefault="009F3826" w:rsidP="00944A56">
                  <w:pPr>
                    <w:jc w:val="center"/>
                    <w:rPr>
                      <w:rFonts w:ascii="Arial" w:hAnsi="Arial" w:cs="Arial"/>
                      <w:iCs/>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14028E70" w14:textId="77777777" w:rsidR="00944A56" w:rsidRPr="00944A56" w:rsidRDefault="009F3826" w:rsidP="00944A56">
                  <w:pPr>
                    <w:jc w:val="center"/>
                    <w:rPr>
                      <w:rFonts w:ascii="Arial" w:hAnsi="Arial" w:cs="Arial"/>
                      <w:iCs/>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411F0C18" w14:textId="77777777" w:rsidR="00944A56" w:rsidRPr="00944A56" w:rsidRDefault="009F3826" w:rsidP="00944A56">
                  <w:pPr>
                    <w:jc w:val="center"/>
                    <w:rPr>
                      <w:rFonts w:ascii="Arial" w:hAnsi="Arial" w:cs="Arial"/>
                      <w:iCs/>
                      <w:szCs w:val="20"/>
                      <w:lang w:eastAsia="en-US"/>
                    </w:rPr>
                  </w:pPr>
                  <w:r>
                    <w:rPr>
                      <w:rFonts w:ascii="Arial" w:hAnsi="Arial" w:cs="Arial"/>
                      <w:iCs/>
                      <w:szCs w:val="20"/>
                      <w:lang w:eastAsia="en-US"/>
                    </w:rPr>
                    <w:t>Positive impact</w:t>
                  </w:r>
                </w:p>
              </w:tc>
            </w:tr>
            <w:tr w:rsidR="00944A56" w14:paraId="12A77278" w14:textId="77777777" w:rsidTr="00944A56">
              <w:tc>
                <w:tcPr>
                  <w:tcW w:w="3561" w:type="dxa"/>
                  <w:tcBorders>
                    <w:top w:val="single" w:sz="4" w:space="0" w:color="auto"/>
                  </w:tcBorders>
                </w:tcPr>
                <w:p w14:paraId="62B150B4"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477205FF"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7C5CE418"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5921C0E0" w14:textId="77777777" w:rsidTr="00944A56">
              <w:tc>
                <w:tcPr>
                  <w:tcW w:w="3561" w:type="dxa"/>
                  <w:tcBorders>
                    <w:bottom w:val="single" w:sz="4" w:space="0" w:color="auto"/>
                  </w:tcBorders>
                </w:tcPr>
                <w:p w14:paraId="3CDF21E9" w14:textId="77777777" w:rsidR="00944A56" w:rsidRPr="00944A56" w:rsidRDefault="009F3826" w:rsidP="00944A56">
                  <w:pPr>
                    <w:jc w:val="center"/>
                    <w:rPr>
                      <w:rFonts w:ascii="Arial" w:hAnsi="Arial" w:cs="Arial"/>
                      <w:szCs w:val="20"/>
                      <w:lang w:eastAsia="en-US"/>
                    </w:rPr>
                  </w:pPr>
                  <w:r>
                    <w:rPr>
                      <w:rFonts w:ascii="Arial" w:hAnsi="Arial" w:cs="Arial"/>
                      <w:iCs/>
                      <w:szCs w:val="20"/>
                      <w:lang w:eastAsia="en-US"/>
                    </w:rPr>
                    <w:t>Positive impact</w:t>
                  </w:r>
                </w:p>
              </w:tc>
              <w:tc>
                <w:tcPr>
                  <w:tcW w:w="3561" w:type="dxa"/>
                  <w:tcBorders>
                    <w:bottom w:val="single" w:sz="4" w:space="0" w:color="auto"/>
                  </w:tcBorders>
                </w:tcPr>
                <w:p w14:paraId="5724C9F3" w14:textId="77777777" w:rsidR="00944A56" w:rsidRPr="00944A56" w:rsidRDefault="009F3826" w:rsidP="00944A56">
                  <w:pPr>
                    <w:jc w:val="center"/>
                    <w:rPr>
                      <w:rFonts w:ascii="Arial" w:hAnsi="Arial" w:cs="Arial"/>
                      <w:szCs w:val="20"/>
                      <w:lang w:eastAsia="en-US"/>
                    </w:rPr>
                  </w:pPr>
                  <w:r>
                    <w:rPr>
                      <w:rFonts w:ascii="Arial" w:hAnsi="Arial" w:cs="Arial"/>
                      <w:iCs/>
                      <w:szCs w:val="20"/>
                      <w:lang w:eastAsia="en-US"/>
                    </w:rPr>
                    <w:t>Positive impact</w:t>
                  </w:r>
                </w:p>
              </w:tc>
              <w:tc>
                <w:tcPr>
                  <w:tcW w:w="3562" w:type="dxa"/>
                  <w:tcBorders>
                    <w:bottom w:val="single" w:sz="4" w:space="0" w:color="auto"/>
                  </w:tcBorders>
                </w:tcPr>
                <w:p w14:paraId="3964551B"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14:paraId="7EF149EE" w14:textId="77777777" w:rsidR="00041903" w:rsidRDefault="00041903" w:rsidP="00376912">
            <w:pPr>
              <w:rPr>
                <w:rFonts w:ascii="Arial" w:hAnsi="Arial" w:cs="Arial"/>
                <w:szCs w:val="20"/>
                <w:lang w:eastAsia="en-US"/>
              </w:rPr>
            </w:pPr>
          </w:p>
          <w:p w14:paraId="09AE39A2" w14:textId="77777777" w:rsidR="00A46F45" w:rsidRPr="00081AFE" w:rsidRDefault="00C30540" w:rsidP="00081AFE">
            <w:pPr>
              <w:rPr>
                <w:rFonts w:ascii="Arial" w:hAnsi="Arial" w:cs="Arial"/>
                <w:szCs w:val="20"/>
                <w:lang w:eastAsia="en-US"/>
              </w:rPr>
            </w:pPr>
            <w:r w:rsidRPr="00081AFE">
              <w:rPr>
                <w:rFonts w:ascii="Arial" w:hAnsi="Arial" w:cs="Arial"/>
                <w:szCs w:val="20"/>
                <w:lang w:eastAsia="en-US"/>
              </w:rPr>
              <w:t>The actions and mitigations detailed above have been designed to have a positive aspect</w:t>
            </w:r>
            <w:r w:rsidR="00081AFE">
              <w:rPr>
                <w:rFonts w:ascii="Arial" w:hAnsi="Arial" w:cs="Arial"/>
                <w:szCs w:val="20"/>
                <w:lang w:eastAsia="en-US"/>
              </w:rPr>
              <w:t xml:space="preserve"> for</w:t>
            </w:r>
            <w:r w:rsidRPr="00081AFE">
              <w:rPr>
                <w:rFonts w:ascii="Arial" w:hAnsi="Arial" w:cs="Arial"/>
                <w:szCs w:val="20"/>
                <w:lang w:eastAsia="en-US"/>
              </w:rPr>
              <w:t xml:space="preserve"> those most in need including those</w:t>
            </w:r>
            <w:r w:rsidR="00081AFE">
              <w:rPr>
                <w:rFonts w:ascii="Arial" w:hAnsi="Arial" w:cs="Arial"/>
                <w:szCs w:val="20"/>
                <w:lang w:eastAsia="en-US"/>
              </w:rPr>
              <w:t xml:space="preserve"> with protected characteristics and people with a range of intersectional identities who </w:t>
            </w:r>
            <w:r w:rsidRPr="00081AFE">
              <w:rPr>
                <w:rFonts w:ascii="Arial" w:hAnsi="Arial" w:cs="Arial"/>
                <w:szCs w:val="20"/>
                <w:lang w:eastAsia="en-US"/>
              </w:rPr>
              <w:t xml:space="preserve">have been </w:t>
            </w:r>
            <w:r w:rsidR="00081AFE">
              <w:rPr>
                <w:rFonts w:ascii="Arial" w:hAnsi="Arial" w:cs="Arial"/>
                <w:szCs w:val="20"/>
                <w:lang w:eastAsia="en-US"/>
              </w:rPr>
              <w:t xml:space="preserve">significantly </w:t>
            </w:r>
            <w:r w:rsidRPr="00081AFE">
              <w:rPr>
                <w:rFonts w:ascii="Arial" w:hAnsi="Arial" w:cs="Arial"/>
                <w:szCs w:val="20"/>
                <w:lang w:eastAsia="en-US"/>
              </w:rPr>
              <w:t>impacted by the pandemic.</w:t>
            </w:r>
            <w:r w:rsidR="00081AFE">
              <w:rPr>
                <w:rFonts w:ascii="Arial" w:hAnsi="Arial" w:cs="Arial"/>
                <w:szCs w:val="20"/>
                <w:lang w:eastAsia="en-US"/>
              </w:rPr>
              <w:tab/>
            </w:r>
          </w:p>
        </w:tc>
      </w:tr>
      <w:tr w:rsidR="001F515A" w:rsidRPr="001F515A" w14:paraId="015611DE" w14:textId="77777777" w:rsidTr="00211C9A">
        <w:trPr>
          <w:jc w:val="center"/>
        </w:trPr>
        <w:tc>
          <w:tcPr>
            <w:tcW w:w="3539" w:type="dxa"/>
            <w:gridSpan w:val="3"/>
          </w:tcPr>
          <w:p w14:paraId="35337ECF"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1394A50B" w14:textId="77777777" w:rsidR="001F515A" w:rsidRPr="001F515A" w:rsidRDefault="001F515A" w:rsidP="001F515A">
            <w:pPr>
              <w:rPr>
                <w:rFonts w:ascii="Arial" w:hAnsi="Arial" w:cs="Arial"/>
                <w:szCs w:val="20"/>
                <w:lang w:eastAsia="en-US"/>
              </w:rPr>
            </w:pPr>
          </w:p>
          <w:p w14:paraId="47D883BA" w14:textId="23D9195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w:t>
            </w:r>
            <w:r w:rsidR="00926255">
              <w:rPr>
                <w:rFonts w:ascii="Arial" w:hAnsi="Arial" w:cs="Arial"/>
                <w:szCs w:val="20"/>
                <w:lang w:eastAsia="en-US"/>
              </w:rPr>
              <w:t xml:space="preserve"> </w:t>
            </w:r>
            <w:r w:rsidRPr="001F515A">
              <w:rPr>
                <w:rFonts w:ascii="Arial" w:hAnsi="Arial" w:cs="Arial"/>
                <w:szCs w:val="20"/>
                <w:lang w:eastAsia="en-US"/>
              </w:rPr>
              <w:t>mitigation of adverse impact of the policy</w:t>
            </w:r>
          </w:p>
        </w:tc>
        <w:tc>
          <w:tcPr>
            <w:tcW w:w="11595" w:type="dxa"/>
            <w:gridSpan w:val="8"/>
          </w:tcPr>
          <w:p w14:paraId="584244CB" w14:textId="4905814B" w:rsidR="003C118C" w:rsidRPr="00926255" w:rsidRDefault="00707547" w:rsidP="00B81299">
            <w:pPr>
              <w:spacing w:after="160" w:line="256" w:lineRule="auto"/>
              <w:rPr>
                <w:rFonts w:ascii="Arial" w:hAnsi="Arial" w:cs="Arial"/>
                <w:b/>
                <w:szCs w:val="20"/>
                <w:highlight w:val="yellow"/>
                <w:lang w:eastAsia="en-US"/>
              </w:rPr>
            </w:pPr>
            <w:r>
              <w:rPr>
                <w:rFonts w:ascii="Arial" w:hAnsi="Arial" w:cs="Arial"/>
                <w:szCs w:val="20"/>
                <w:lang w:eastAsia="en-US"/>
              </w:rPr>
              <w:t xml:space="preserve">Delivering the </w:t>
            </w:r>
            <w:r w:rsidR="00926255">
              <w:rPr>
                <w:rFonts w:ascii="Arial" w:hAnsi="Arial" w:cs="Arial"/>
                <w:szCs w:val="20"/>
                <w:lang w:eastAsia="en-US"/>
              </w:rPr>
              <w:t>Equality, Diversity</w:t>
            </w:r>
            <w:r w:rsidR="00A7718B">
              <w:rPr>
                <w:rFonts w:ascii="Arial" w:hAnsi="Arial" w:cs="Arial"/>
                <w:szCs w:val="20"/>
                <w:lang w:eastAsia="en-US"/>
              </w:rPr>
              <w:t xml:space="preserve"> and </w:t>
            </w:r>
            <w:r w:rsidR="00926255">
              <w:rPr>
                <w:rFonts w:ascii="Arial" w:hAnsi="Arial" w:cs="Arial"/>
                <w:szCs w:val="20"/>
                <w:lang w:eastAsia="en-US"/>
              </w:rPr>
              <w:t xml:space="preserve">Inclusion Strategy </w:t>
            </w:r>
            <w:r>
              <w:rPr>
                <w:rFonts w:ascii="Arial" w:hAnsi="Arial" w:cs="Arial"/>
                <w:szCs w:val="20"/>
                <w:lang w:eastAsia="en-US"/>
              </w:rPr>
              <w:t xml:space="preserve">will </w:t>
            </w:r>
            <w:r w:rsidR="00926255">
              <w:rPr>
                <w:rFonts w:ascii="Arial" w:hAnsi="Arial" w:cs="Arial"/>
                <w:szCs w:val="20"/>
                <w:lang w:eastAsia="en-US"/>
              </w:rPr>
              <w:t>intrinsic</w:t>
            </w:r>
            <w:r>
              <w:rPr>
                <w:rFonts w:ascii="Arial" w:hAnsi="Arial" w:cs="Arial"/>
                <w:szCs w:val="20"/>
                <w:lang w:eastAsia="en-US"/>
              </w:rPr>
              <w:t xml:space="preserve">ally mitigate </w:t>
            </w:r>
            <w:r w:rsidR="00926255">
              <w:rPr>
                <w:rFonts w:ascii="Arial" w:hAnsi="Arial" w:cs="Arial"/>
                <w:szCs w:val="20"/>
                <w:lang w:eastAsia="en-US"/>
              </w:rPr>
              <w:t>the equalities issues raised through focus groups and consultation. Work is underway to review our approach to Equality Impact Assessments, ensuring that new policies and services involve and consider the impact on protected groups at the earliest pre-draft stages. Mo</w:t>
            </w:r>
            <w:r w:rsidR="00A7718B">
              <w:rPr>
                <w:rFonts w:ascii="Arial" w:hAnsi="Arial" w:cs="Arial"/>
                <w:szCs w:val="20"/>
                <w:lang w:eastAsia="en-US"/>
              </w:rPr>
              <w:t xml:space="preserve">reover, the Equality, Diversity and </w:t>
            </w:r>
            <w:r w:rsidR="00926255">
              <w:rPr>
                <w:rFonts w:ascii="Arial" w:hAnsi="Arial" w:cs="Arial"/>
                <w:szCs w:val="20"/>
                <w:lang w:eastAsia="en-US"/>
              </w:rPr>
              <w:t>Inclusion Strategy recommends a continuous approach to equalities</w:t>
            </w:r>
            <w:r w:rsidR="00A7718B">
              <w:rPr>
                <w:rFonts w:ascii="Arial" w:hAnsi="Arial" w:cs="Arial"/>
                <w:szCs w:val="20"/>
                <w:lang w:eastAsia="en-US"/>
              </w:rPr>
              <w:t>,</w:t>
            </w:r>
            <w:r w:rsidR="00926255">
              <w:rPr>
                <w:rFonts w:ascii="Arial" w:hAnsi="Arial" w:cs="Arial"/>
                <w:szCs w:val="20"/>
                <w:lang w:eastAsia="en-US"/>
              </w:rPr>
              <w:t xml:space="preserve"> including </w:t>
            </w:r>
            <w:r w:rsidR="00183F3D">
              <w:rPr>
                <w:rFonts w:ascii="Arial" w:hAnsi="Arial" w:cs="Arial"/>
                <w:szCs w:val="20"/>
                <w:lang w:eastAsia="en-US"/>
              </w:rPr>
              <w:t xml:space="preserve">a </w:t>
            </w:r>
            <w:r w:rsidR="00926255">
              <w:rPr>
                <w:rFonts w:ascii="Arial" w:hAnsi="Arial" w:cs="Arial"/>
                <w:szCs w:val="20"/>
                <w:lang w:eastAsia="en-US"/>
              </w:rPr>
              <w:t xml:space="preserve">governance framework for regularly monitoring and assessing the impact of strategy delivery from an equalities perspective. </w:t>
            </w:r>
          </w:p>
        </w:tc>
      </w:tr>
      <w:tr w:rsidR="001F515A" w:rsidRPr="001F515A" w14:paraId="087218DF" w14:textId="77777777" w:rsidTr="00211C9A">
        <w:trPr>
          <w:trHeight w:val="359"/>
          <w:jc w:val="center"/>
        </w:trPr>
        <w:tc>
          <w:tcPr>
            <w:tcW w:w="3539" w:type="dxa"/>
            <w:gridSpan w:val="3"/>
          </w:tcPr>
          <w:p w14:paraId="5DF81743"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11A1463A" w14:textId="77777777" w:rsidR="001F515A" w:rsidRPr="001F515A" w:rsidRDefault="001F515A" w:rsidP="001F515A">
            <w:pPr>
              <w:rPr>
                <w:rFonts w:ascii="Arial" w:hAnsi="Arial" w:cs="Arial"/>
                <w:snapToGrid w:val="0"/>
                <w:color w:val="000000"/>
                <w:szCs w:val="20"/>
                <w:lang w:eastAsia="en-US"/>
              </w:rPr>
            </w:pPr>
          </w:p>
          <w:p w14:paraId="730FD8B0"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t>
            </w:r>
            <w:r w:rsidRPr="001F515A">
              <w:rPr>
                <w:rFonts w:ascii="Arial" w:hAnsi="Arial" w:cs="Arial"/>
                <w:szCs w:val="20"/>
                <w:lang w:eastAsia="en-US"/>
              </w:rPr>
              <w:lastRenderedPageBreak/>
              <w:t xml:space="preserve">whether you found any evidence of discrimination. </w:t>
            </w:r>
          </w:p>
        </w:tc>
        <w:tc>
          <w:tcPr>
            <w:tcW w:w="11595" w:type="dxa"/>
            <w:gridSpan w:val="8"/>
          </w:tcPr>
          <w:p w14:paraId="375A8A6D" w14:textId="77777777" w:rsidR="003D22E2" w:rsidRPr="003D22E2" w:rsidRDefault="003D22E2" w:rsidP="003D22E2">
            <w:pPr>
              <w:rPr>
                <w:rFonts w:ascii="Arial" w:hAnsi="Arial" w:cs="Arial"/>
                <w:b/>
                <w:szCs w:val="20"/>
                <w:lang w:eastAsia="en-US"/>
              </w:rPr>
            </w:pPr>
          </w:p>
          <w:p w14:paraId="405FB787" w14:textId="77777777" w:rsidR="003D22E2" w:rsidRPr="003D22E2" w:rsidRDefault="003D22E2" w:rsidP="003D22E2">
            <w:pPr>
              <w:tabs>
                <w:tab w:val="left" w:pos="426"/>
              </w:tabs>
              <w:spacing w:after="120"/>
              <w:jc w:val="both"/>
              <w:rPr>
                <w:rFonts w:ascii="Arial" w:hAnsi="Arial" w:cs="Arial"/>
              </w:rPr>
            </w:pPr>
            <w:r w:rsidRPr="003D22E2">
              <w:rPr>
                <w:rFonts w:ascii="Arial" w:hAnsi="Arial" w:cs="Arial"/>
              </w:rPr>
              <w:t>The City Council has an equalities steering group chaired by the Executive Director for Communities and People. This is an advisory group with insight into lived experience and council service delivery that will inform our policy-making and service delivery and help strengthen our own approach to equalities within the workplace.</w:t>
            </w:r>
          </w:p>
          <w:p w14:paraId="248B20B2" w14:textId="33109BDF" w:rsidR="003D22E2" w:rsidRPr="00185D64" w:rsidRDefault="003D22E2" w:rsidP="003D22E2">
            <w:pPr>
              <w:rPr>
                <w:rFonts w:ascii="Arial" w:hAnsi="Arial" w:cs="Arial"/>
                <w:szCs w:val="20"/>
                <w:lang w:eastAsia="en-US"/>
              </w:rPr>
            </w:pPr>
            <w:r w:rsidRPr="003D22E2">
              <w:rPr>
                <w:rFonts w:ascii="Arial" w:hAnsi="Arial" w:cs="Arial"/>
              </w:rPr>
              <w:t>To strengthen oversight, accountability, and challenge at the senior level, the Equalities Steering group will present quarterly to the Corporate Management Team (CMT) of service directors and the Leaders Group of Cabinet Members</w:t>
            </w:r>
          </w:p>
        </w:tc>
      </w:tr>
      <w:tr w:rsidR="001F515A" w:rsidRPr="001F515A" w14:paraId="1E8EBF38" w14:textId="77777777" w:rsidTr="00211C9A">
        <w:trPr>
          <w:jc w:val="center"/>
        </w:trPr>
        <w:tc>
          <w:tcPr>
            <w:tcW w:w="3539" w:type="dxa"/>
            <w:gridSpan w:val="3"/>
          </w:tcPr>
          <w:p w14:paraId="1C30CC13" w14:textId="0E76E621" w:rsidR="001F515A" w:rsidRPr="001F515A" w:rsidRDefault="001F515A" w:rsidP="009F3826">
            <w:pPr>
              <w:rPr>
                <w:rFonts w:ascii="Arial" w:hAnsi="Arial" w:cs="Arial"/>
                <w:szCs w:val="20"/>
                <w:lang w:eastAsia="en-US"/>
              </w:rPr>
            </w:pPr>
            <w:r w:rsidRPr="001F515A">
              <w:rPr>
                <w:rFonts w:ascii="Arial" w:hAnsi="Arial" w:cs="Arial"/>
                <w:b/>
                <w:szCs w:val="20"/>
                <w:lang w:eastAsia="en-US"/>
              </w:rPr>
              <w:lastRenderedPageBreak/>
              <w:t xml:space="preserve">7. Date reported and signed off by </w:t>
            </w:r>
            <w:r w:rsidR="009F3826">
              <w:rPr>
                <w:rFonts w:ascii="Arial" w:hAnsi="Arial" w:cs="Arial"/>
                <w:b/>
                <w:szCs w:val="20"/>
                <w:lang w:eastAsia="en-US"/>
              </w:rPr>
              <w:t>Corporate Management Team</w:t>
            </w:r>
            <w:r w:rsidRPr="001F515A">
              <w:rPr>
                <w:rFonts w:ascii="Arial" w:hAnsi="Arial" w:cs="Arial"/>
                <w:b/>
                <w:szCs w:val="20"/>
                <w:lang w:eastAsia="en-US"/>
              </w:rPr>
              <w:t xml:space="preserve">: </w:t>
            </w:r>
          </w:p>
        </w:tc>
        <w:tc>
          <w:tcPr>
            <w:tcW w:w="11595" w:type="dxa"/>
            <w:gridSpan w:val="8"/>
          </w:tcPr>
          <w:p w14:paraId="1711BD10" w14:textId="613CB097" w:rsidR="00A7718B" w:rsidRDefault="00FB0654" w:rsidP="008F4F35">
            <w:pPr>
              <w:rPr>
                <w:rFonts w:ascii="Arial" w:hAnsi="Arial" w:cs="Arial"/>
                <w:szCs w:val="20"/>
                <w:lang w:eastAsia="en-US"/>
              </w:rPr>
            </w:pPr>
            <w:r>
              <w:rPr>
                <w:rFonts w:ascii="Arial" w:hAnsi="Arial" w:cs="Arial"/>
                <w:szCs w:val="20"/>
                <w:lang w:eastAsia="en-US"/>
              </w:rPr>
              <w:t>January 2022</w:t>
            </w:r>
          </w:p>
          <w:p w14:paraId="7C843533" w14:textId="77777777" w:rsidR="001F515A" w:rsidRPr="00A7718B" w:rsidRDefault="001F515A" w:rsidP="00A7718B">
            <w:pPr>
              <w:ind w:firstLine="720"/>
              <w:rPr>
                <w:rFonts w:ascii="Arial" w:hAnsi="Arial" w:cs="Arial"/>
                <w:szCs w:val="20"/>
                <w:lang w:eastAsia="en-US"/>
              </w:rPr>
            </w:pPr>
          </w:p>
        </w:tc>
      </w:tr>
      <w:tr w:rsidR="001F515A" w:rsidRPr="001F515A" w14:paraId="3E225438" w14:textId="77777777" w:rsidTr="00211C9A">
        <w:trPr>
          <w:trHeight w:val="782"/>
          <w:jc w:val="center"/>
        </w:trPr>
        <w:tc>
          <w:tcPr>
            <w:tcW w:w="3539" w:type="dxa"/>
            <w:gridSpan w:val="3"/>
          </w:tcPr>
          <w:p w14:paraId="654A87DB"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774AC575" w14:textId="77777777" w:rsidR="001F515A" w:rsidRPr="001F515A" w:rsidRDefault="001F515A" w:rsidP="001F515A">
            <w:pPr>
              <w:rPr>
                <w:rFonts w:ascii="Arial" w:hAnsi="Arial" w:cs="Arial"/>
                <w:szCs w:val="20"/>
                <w:lang w:eastAsia="en-US"/>
              </w:rPr>
            </w:pPr>
          </w:p>
          <w:p w14:paraId="0A85FEBC" w14:textId="77777777" w:rsidR="001F515A" w:rsidRPr="001F515A" w:rsidRDefault="001F515A" w:rsidP="00ED20C9">
            <w:pPr>
              <w:rPr>
                <w:rFonts w:ascii="Arial" w:hAnsi="Arial" w:cs="Arial"/>
                <w:szCs w:val="20"/>
                <w:lang w:eastAsia="en-US"/>
              </w:rPr>
            </w:pPr>
            <w:r w:rsidRPr="00A165DD">
              <w:rPr>
                <w:rFonts w:ascii="Arial" w:hAnsi="Arial" w:cs="Arial"/>
                <w:szCs w:val="20"/>
                <w:lang w:eastAsia="en-US"/>
              </w:rPr>
              <w:t>What are your conclusions drawn from the resul</w:t>
            </w:r>
            <w:r w:rsidR="00ED20C9" w:rsidRPr="00A165DD">
              <w:rPr>
                <w:rFonts w:ascii="Arial" w:hAnsi="Arial" w:cs="Arial"/>
                <w:szCs w:val="20"/>
                <w:lang w:eastAsia="en-US"/>
              </w:rPr>
              <w:t>ts in terms of the policy impact</w:t>
            </w:r>
          </w:p>
        </w:tc>
        <w:tc>
          <w:tcPr>
            <w:tcW w:w="11595" w:type="dxa"/>
            <w:gridSpan w:val="8"/>
          </w:tcPr>
          <w:p w14:paraId="518A350F" w14:textId="2B011B17" w:rsidR="003C118C" w:rsidRPr="00A165DD" w:rsidRDefault="00A165DD" w:rsidP="00EE7CB3">
            <w:pPr>
              <w:rPr>
                <w:rFonts w:ascii="Arial" w:hAnsi="Arial" w:cs="Arial"/>
                <w:szCs w:val="20"/>
                <w:lang w:eastAsia="en-US"/>
              </w:rPr>
            </w:pPr>
            <w:r w:rsidRPr="00EE7CB3">
              <w:rPr>
                <w:rFonts w:ascii="Arial" w:hAnsi="Arial" w:cs="Arial"/>
                <w:szCs w:val="20"/>
                <w:lang w:eastAsia="en-US"/>
              </w:rPr>
              <w:t xml:space="preserve">The conclusion is to adopt </w:t>
            </w:r>
            <w:r w:rsidR="00EE7CB3" w:rsidRPr="00EE7CB3">
              <w:rPr>
                <w:rFonts w:ascii="Arial" w:hAnsi="Arial" w:cs="Arial"/>
                <w:szCs w:val="20"/>
                <w:lang w:eastAsia="en-US"/>
              </w:rPr>
              <w:t xml:space="preserve">and deliver </w:t>
            </w:r>
            <w:r w:rsidRPr="00EE7CB3">
              <w:rPr>
                <w:rFonts w:ascii="Arial" w:hAnsi="Arial" w:cs="Arial"/>
                <w:szCs w:val="20"/>
                <w:lang w:eastAsia="en-US"/>
              </w:rPr>
              <w:t xml:space="preserve">the </w:t>
            </w:r>
            <w:r w:rsidR="00EE7CB3" w:rsidRPr="00EE7CB3">
              <w:rPr>
                <w:rFonts w:ascii="Arial" w:hAnsi="Arial" w:cs="Arial"/>
                <w:szCs w:val="20"/>
                <w:lang w:eastAsia="en-US"/>
              </w:rPr>
              <w:t xml:space="preserve">strategy </w:t>
            </w:r>
            <w:r w:rsidRPr="00EE7CB3">
              <w:rPr>
                <w:rFonts w:ascii="Arial" w:hAnsi="Arial" w:cs="Arial"/>
                <w:szCs w:val="20"/>
                <w:lang w:eastAsia="en-US"/>
              </w:rPr>
              <w:t xml:space="preserve">in order to </w:t>
            </w:r>
            <w:r w:rsidR="00EE7CB3" w:rsidRPr="00EE7CB3">
              <w:rPr>
                <w:rFonts w:ascii="Arial" w:hAnsi="Arial" w:cs="Arial"/>
                <w:szCs w:val="20"/>
                <w:lang w:eastAsia="en-US"/>
              </w:rPr>
              <w:t xml:space="preserve">help to close inequality gaps across the city </w:t>
            </w:r>
            <w:r w:rsidR="00957106">
              <w:rPr>
                <w:rFonts w:ascii="Arial" w:hAnsi="Arial" w:cs="Arial"/>
                <w:szCs w:val="20"/>
                <w:lang w:eastAsia="en-US"/>
              </w:rPr>
              <w:t xml:space="preserve">and </w:t>
            </w:r>
            <w:r w:rsidRPr="00EE7CB3">
              <w:rPr>
                <w:rFonts w:ascii="Arial" w:hAnsi="Arial" w:cs="Arial"/>
                <w:szCs w:val="20"/>
                <w:lang w:eastAsia="en-US"/>
              </w:rPr>
              <w:t>mitigate the impact of Covid on Oxford’s diverse communities.</w:t>
            </w:r>
          </w:p>
        </w:tc>
        <w:bookmarkStart w:id="0" w:name="_GoBack"/>
        <w:bookmarkEnd w:id="0"/>
      </w:tr>
      <w:tr w:rsidR="00ED20C9" w:rsidRPr="001F515A" w14:paraId="106FB13C" w14:textId="77777777" w:rsidTr="00211C9A">
        <w:trPr>
          <w:trHeight w:val="1000"/>
          <w:jc w:val="center"/>
        </w:trPr>
        <w:tc>
          <w:tcPr>
            <w:tcW w:w="3539" w:type="dxa"/>
            <w:gridSpan w:val="3"/>
            <w:vAlign w:val="center"/>
          </w:tcPr>
          <w:p w14:paraId="4605C508"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789" w:type="dxa"/>
            <w:vAlign w:val="center"/>
          </w:tcPr>
          <w:p w14:paraId="666491D4" w14:textId="77777777" w:rsidR="00ED20C9" w:rsidRPr="001F515A" w:rsidRDefault="005A1D70" w:rsidP="005A1D70">
            <w:pPr>
              <w:jc w:val="center"/>
              <w:rPr>
                <w:rFonts w:ascii="Arial" w:hAnsi="Arial" w:cs="Arial"/>
                <w:bCs/>
                <w:szCs w:val="20"/>
                <w:lang w:eastAsia="en-US"/>
              </w:rPr>
            </w:pPr>
            <w:r w:rsidRPr="005A1D70">
              <w:rPr>
                <w:rFonts w:ascii="Arial" w:hAnsi="Arial" w:cs="Arial"/>
                <w:bCs/>
                <w:szCs w:val="20"/>
                <w:lang w:eastAsia="en-US"/>
              </w:rPr>
              <w:t>YES</w:t>
            </w:r>
            <w:r w:rsidR="00C44123" w:rsidRPr="005A1D70">
              <w:rPr>
                <w:rFonts w:ascii="Arial" w:hAnsi="Arial" w:cs="Arial"/>
                <w:bCs/>
                <w:szCs w:val="20"/>
                <w:lang w:eastAsia="en-US"/>
              </w:rPr>
              <w:t xml:space="preserve"> – the actions embedded </w:t>
            </w:r>
            <w:r w:rsidRPr="005A1D70">
              <w:rPr>
                <w:rFonts w:ascii="Arial" w:hAnsi="Arial" w:cs="Arial"/>
                <w:bCs/>
                <w:szCs w:val="20"/>
                <w:lang w:eastAsia="en-US"/>
              </w:rPr>
              <w:t xml:space="preserve">in </w:t>
            </w:r>
            <w:r w:rsidR="00C44123" w:rsidRPr="005A1D70">
              <w:rPr>
                <w:rFonts w:ascii="Arial" w:hAnsi="Arial" w:cs="Arial"/>
                <w:bCs/>
                <w:szCs w:val="20"/>
                <w:lang w:eastAsia="en-US"/>
              </w:rPr>
              <w:t>service plans</w:t>
            </w:r>
          </w:p>
        </w:tc>
        <w:tc>
          <w:tcPr>
            <w:tcW w:w="3180" w:type="dxa"/>
            <w:gridSpan w:val="3"/>
            <w:vAlign w:val="center"/>
          </w:tcPr>
          <w:p w14:paraId="3B3B6E9F"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260" w:type="dxa"/>
            <w:gridSpan w:val="2"/>
            <w:vAlign w:val="center"/>
          </w:tcPr>
          <w:p w14:paraId="720FA638" w14:textId="77777777" w:rsidR="00ED20C9" w:rsidRPr="001F515A" w:rsidRDefault="005A1D70" w:rsidP="00760DAE">
            <w:pPr>
              <w:rPr>
                <w:rFonts w:ascii="Arial" w:hAnsi="Arial" w:cs="Arial"/>
                <w:szCs w:val="20"/>
                <w:lang w:eastAsia="en-US"/>
              </w:rPr>
            </w:pPr>
            <w:r>
              <w:rPr>
                <w:rFonts w:ascii="Arial" w:hAnsi="Arial" w:cs="Arial"/>
                <w:szCs w:val="20"/>
                <w:lang w:eastAsia="en-US"/>
              </w:rPr>
              <w:t>Ongoing</w:t>
            </w:r>
          </w:p>
        </w:tc>
        <w:tc>
          <w:tcPr>
            <w:tcW w:w="2948" w:type="dxa"/>
            <w:vAlign w:val="center"/>
          </w:tcPr>
          <w:p w14:paraId="156B2D0A" w14:textId="77777777" w:rsidR="00ED20C9" w:rsidRPr="001F515A" w:rsidRDefault="00ED20C9" w:rsidP="001F515A">
            <w:pPr>
              <w:rPr>
                <w:rFonts w:ascii="Arial" w:hAnsi="Arial" w:cs="Arial"/>
                <w:b/>
                <w:szCs w:val="20"/>
                <w:lang w:eastAsia="en-US"/>
              </w:rPr>
            </w:pPr>
          </w:p>
        </w:tc>
        <w:tc>
          <w:tcPr>
            <w:tcW w:w="1418" w:type="dxa"/>
            <w:vAlign w:val="center"/>
          </w:tcPr>
          <w:p w14:paraId="4BAB9493" w14:textId="3D2F0E27" w:rsidR="00ED20C9" w:rsidRPr="001F515A" w:rsidRDefault="00ED20C9" w:rsidP="001F515A">
            <w:pPr>
              <w:rPr>
                <w:rFonts w:ascii="Arial" w:hAnsi="Arial" w:cs="Arial"/>
                <w:szCs w:val="20"/>
                <w:lang w:eastAsia="en-US"/>
              </w:rPr>
            </w:pPr>
          </w:p>
        </w:tc>
      </w:tr>
      <w:tr w:rsidR="00ED20C9" w:rsidRPr="001F515A" w14:paraId="1DE2F131" w14:textId="77777777" w:rsidTr="00211C9A">
        <w:trPr>
          <w:trHeight w:val="1000"/>
          <w:jc w:val="center"/>
        </w:trPr>
        <w:tc>
          <w:tcPr>
            <w:tcW w:w="3539" w:type="dxa"/>
            <w:gridSpan w:val="3"/>
            <w:vAlign w:val="center"/>
          </w:tcPr>
          <w:p w14:paraId="27EEF881" w14:textId="77777777"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789" w:type="dxa"/>
            <w:vAlign w:val="center"/>
          </w:tcPr>
          <w:p w14:paraId="15C03F10" w14:textId="69865E27" w:rsidR="00ED20C9" w:rsidRPr="00FB0654" w:rsidRDefault="00FB0654" w:rsidP="001F515A">
            <w:pPr>
              <w:jc w:val="center"/>
              <w:rPr>
                <w:rFonts w:ascii="Arial" w:hAnsi="Arial" w:cs="Arial"/>
                <w:b/>
                <w:szCs w:val="20"/>
                <w:lang w:eastAsia="en-US"/>
              </w:rPr>
            </w:pPr>
            <w:r>
              <w:rPr>
                <w:rFonts w:ascii="Arial" w:hAnsi="Arial" w:cs="Arial"/>
                <w:szCs w:val="20"/>
                <w:lang w:eastAsia="en-US"/>
              </w:rPr>
              <w:t>Feb 2022</w:t>
            </w:r>
          </w:p>
        </w:tc>
        <w:tc>
          <w:tcPr>
            <w:tcW w:w="3180" w:type="dxa"/>
            <w:gridSpan w:val="3"/>
            <w:vAlign w:val="center"/>
          </w:tcPr>
          <w:p w14:paraId="0B400642" w14:textId="77777777" w:rsidR="00ED20C9" w:rsidRPr="00FB0654" w:rsidRDefault="00ED20C9" w:rsidP="00AD4D5F">
            <w:pPr>
              <w:rPr>
                <w:rFonts w:ascii="Arial" w:hAnsi="Arial" w:cs="Arial"/>
                <w:b/>
                <w:bCs/>
                <w:szCs w:val="20"/>
                <w:lang w:eastAsia="en-US"/>
              </w:rPr>
            </w:pPr>
            <w:r w:rsidRPr="00FB0654">
              <w:rPr>
                <w:rFonts w:ascii="Arial" w:hAnsi="Arial" w:cs="Arial"/>
                <w:b/>
                <w:szCs w:val="20"/>
                <w:lang w:eastAsia="en-US"/>
              </w:rPr>
              <w:t xml:space="preserve">14. Date reported to </w:t>
            </w:r>
            <w:r w:rsidR="00AD4D5F" w:rsidRPr="00FB0654">
              <w:rPr>
                <w:rFonts w:ascii="Arial" w:hAnsi="Arial" w:cs="Arial"/>
                <w:b/>
                <w:szCs w:val="20"/>
                <w:lang w:eastAsia="en-US"/>
              </w:rPr>
              <w:t>CMT</w:t>
            </w:r>
            <w:r w:rsidRPr="00FB0654">
              <w:rPr>
                <w:rFonts w:ascii="Arial" w:hAnsi="Arial" w:cs="Arial"/>
                <w:b/>
                <w:szCs w:val="20"/>
                <w:lang w:eastAsia="en-US"/>
              </w:rPr>
              <w:t>:</w:t>
            </w:r>
          </w:p>
        </w:tc>
        <w:tc>
          <w:tcPr>
            <w:tcW w:w="2260" w:type="dxa"/>
            <w:gridSpan w:val="2"/>
            <w:vAlign w:val="center"/>
          </w:tcPr>
          <w:p w14:paraId="323CC35B" w14:textId="3D201DD3" w:rsidR="00ED20C9" w:rsidRPr="00FB0654" w:rsidRDefault="00FB0654" w:rsidP="00760DAE">
            <w:pPr>
              <w:rPr>
                <w:rFonts w:ascii="Arial" w:hAnsi="Arial" w:cs="Arial"/>
                <w:szCs w:val="20"/>
                <w:lang w:eastAsia="en-US"/>
              </w:rPr>
            </w:pPr>
            <w:r>
              <w:rPr>
                <w:rFonts w:ascii="Arial" w:hAnsi="Arial" w:cs="Arial"/>
                <w:szCs w:val="20"/>
                <w:lang w:eastAsia="en-US"/>
              </w:rPr>
              <w:t>January 2022</w:t>
            </w:r>
          </w:p>
        </w:tc>
        <w:tc>
          <w:tcPr>
            <w:tcW w:w="2948" w:type="dxa"/>
            <w:vAlign w:val="center"/>
          </w:tcPr>
          <w:p w14:paraId="601F486F" w14:textId="77777777" w:rsidR="00ED20C9" w:rsidRPr="00FB0654" w:rsidRDefault="00ED20C9" w:rsidP="001F515A">
            <w:pPr>
              <w:rPr>
                <w:rFonts w:ascii="Arial" w:hAnsi="Arial" w:cs="Arial"/>
                <w:b/>
                <w:szCs w:val="20"/>
                <w:lang w:eastAsia="en-US"/>
              </w:rPr>
            </w:pPr>
            <w:r w:rsidRPr="00FB0654">
              <w:rPr>
                <w:rFonts w:ascii="Arial" w:hAnsi="Arial" w:cs="Arial"/>
                <w:b/>
                <w:szCs w:val="20"/>
                <w:lang w:eastAsia="en-US"/>
              </w:rPr>
              <w:t>12. The date the report on EqIA will be published</w:t>
            </w:r>
          </w:p>
        </w:tc>
        <w:tc>
          <w:tcPr>
            <w:tcW w:w="1418" w:type="dxa"/>
            <w:vAlign w:val="center"/>
          </w:tcPr>
          <w:p w14:paraId="2B2AA404" w14:textId="72325362" w:rsidR="00ED20C9" w:rsidRPr="00FB0654" w:rsidRDefault="00FB0654" w:rsidP="00FB0654">
            <w:pPr>
              <w:rPr>
                <w:rFonts w:ascii="Arial" w:hAnsi="Arial" w:cs="Arial"/>
                <w:szCs w:val="20"/>
                <w:lang w:eastAsia="en-US"/>
              </w:rPr>
            </w:pPr>
            <w:r w:rsidRPr="00FB0654">
              <w:rPr>
                <w:rFonts w:ascii="Arial" w:hAnsi="Arial" w:cs="Arial"/>
                <w:szCs w:val="20"/>
                <w:lang w:eastAsia="en-US"/>
              </w:rPr>
              <w:t>March 2022</w:t>
            </w:r>
          </w:p>
        </w:tc>
      </w:tr>
    </w:tbl>
    <w:p w14:paraId="264BA012" w14:textId="77777777" w:rsidR="001F515A" w:rsidRPr="001F515A" w:rsidRDefault="001F515A" w:rsidP="001F515A">
      <w:pPr>
        <w:rPr>
          <w:rFonts w:ascii="Arial" w:hAnsi="Arial" w:cs="Arial"/>
          <w:szCs w:val="20"/>
          <w:lang w:eastAsia="en-US"/>
        </w:rPr>
      </w:pPr>
    </w:p>
    <w:p w14:paraId="3E48A004" w14:textId="77777777" w:rsidR="006848C3" w:rsidRDefault="006848C3" w:rsidP="001F515A">
      <w:pPr>
        <w:rPr>
          <w:rFonts w:ascii="Arial" w:hAnsi="Arial" w:cs="Arial"/>
          <w:szCs w:val="20"/>
          <w:lang w:eastAsia="en-US"/>
        </w:rPr>
      </w:pPr>
    </w:p>
    <w:p w14:paraId="032F8C41" w14:textId="37C892D1"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00A7718B">
        <w:rPr>
          <w:rFonts w:ascii="Arial" w:hAnsi="Arial" w:cs="Arial"/>
          <w:szCs w:val="20"/>
          <w:lang w:eastAsia="en-US"/>
        </w:rPr>
        <w:t xml:space="preserve"> P. Redway </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bookmarkStart w:id="1" w:name="OLE_LINK1"/>
      <w:r w:rsidR="00626FEC" w:rsidRPr="00626FEC">
        <w:rPr>
          <w:sz w:val="22"/>
        </w:rPr>
        <w:t xml:space="preserve"> </w:t>
      </w:r>
      <w:bookmarkEnd w:id="1"/>
      <w:r w:rsidR="00A7718B">
        <w:rPr>
          <w:sz w:val="22"/>
        </w:rPr>
        <w:t xml:space="preserve"> </w:t>
      </w:r>
      <w:r w:rsidR="00A7718B" w:rsidRPr="00A7718B">
        <w:rPr>
          <w:sz w:val="28"/>
        </w:rPr>
        <w:t>I.B</w:t>
      </w:r>
      <w:r w:rsidR="00A7718B">
        <w:rPr>
          <w:sz w:val="28"/>
        </w:rPr>
        <w:t>r</w:t>
      </w:r>
      <w:r w:rsidR="00A7718B" w:rsidRPr="00A7718B">
        <w:rPr>
          <w:sz w:val="28"/>
        </w:rPr>
        <w:t>ooke</w:t>
      </w:r>
    </w:p>
    <w:p w14:paraId="52244213" w14:textId="77777777" w:rsidR="001F515A" w:rsidRPr="001F515A" w:rsidRDefault="001F515A" w:rsidP="001F515A">
      <w:pPr>
        <w:rPr>
          <w:rFonts w:ascii="Arial" w:hAnsi="Arial" w:cs="Arial"/>
          <w:szCs w:val="20"/>
          <w:lang w:eastAsia="en-US"/>
        </w:rPr>
      </w:pPr>
    </w:p>
    <w:sectPr w:rsidR="001F515A" w:rsidRPr="001F515A" w:rsidSect="00292904">
      <w:headerReference w:type="even" r:id="rId14"/>
      <w:headerReference w:type="default" r:id="rId15"/>
      <w:footerReference w:type="even" r:id="rId16"/>
      <w:footerReference w:type="default" r:id="rId17"/>
      <w:headerReference w:type="first" r:id="rId18"/>
      <w:footerReference w:type="first" r:id="rId19"/>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5F9E" w14:textId="77777777" w:rsidR="00967B90" w:rsidRDefault="00967B90" w:rsidP="00B21479">
      <w:r>
        <w:separator/>
      </w:r>
    </w:p>
  </w:endnote>
  <w:endnote w:type="continuationSeparator" w:id="0">
    <w:p w14:paraId="3EC38324" w14:textId="77777777" w:rsidR="00967B90" w:rsidRDefault="00967B90"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DEDB" w14:textId="77777777" w:rsidR="00A30C3C" w:rsidRDefault="00A30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373D" w14:textId="2A3D7CE9" w:rsidR="00967B90" w:rsidRPr="000B0D2A" w:rsidRDefault="00967B90"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sidR="00A30C3C">
      <w:rPr>
        <w:rFonts w:ascii="Arial" w:hAnsi="Arial" w:cs="Arial"/>
        <w:sz w:val="20"/>
        <w:szCs w:val="20"/>
      </w:rPr>
      <w:t>1.2.22</w:t>
    </w:r>
    <w:r>
      <w:rPr>
        <w:rFonts w:ascii="Arial" w:hAnsi="Arial" w:cs="Arial"/>
        <w:sz w:val="20"/>
        <w:szCs w:val="20"/>
      </w:rPr>
      <w:tab/>
      <w:t xml:space="preserve">          </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211C9A">
      <w:rPr>
        <w:rFonts w:ascii="Arial" w:hAnsi="Arial" w:cs="Arial"/>
        <w:b/>
        <w:bCs/>
        <w:noProof/>
        <w:sz w:val="20"/>
        <w:szCs w:val="20"/>
      </w:rPr>
      <w:t>11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211C9A">
      <w:rPr>
        <w:rFonts w:ascii="Arial" w:hAnsi="Arial" w:cs="Arial"/>
        <w:b/>
        <w:bCs/>
        <w:noProof/>
        <w:sz w:val="20"/>
        <w:szCs w:val="20"/>
      </w:rPr>
      <w:t>11</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10F1" w14:textId="77777777" w:rsidR="00A30C3C" w:rsidRDefault="00A3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5430" w14:textId="77777777" w:rsidR="00967B90" w:rsidRDefault="00967B90" w:rsidP="00B21479">
      <w:r>
        <w:separator/>
      </w:r>
    </w:p>
  </w:footnote>
  <w:footnote w:type="continuationSeparator" w:id="0">
    <w:p w14:paraId="3EDDD44A" w14:textId="77777777" w:rsidR="00967B90" w:rsidRDefault="00967B90"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908F" w14:textId="77777777" w:rsidR="00A30C3C" w:rsidRDefault="00A3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08D0" w14:textId="77777777" w:rsidR="00A30C3C" w:rsidRDefault="00A30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EA7C" w14:textId="77777777" w:rsidR="00A30C3C" w:rsidRDefault="00A30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C01"/>
    <w:multiLevelType w:val="hybridMultilevel"/>
    <w:tmpl w:val="6F1E5616"/>
    <w:lvl w:ilvl="0" w:tplc="8266E73A">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F837EF"/>
    <w:multiLevelType w:val="hybridMultilevel"/>
    <w:tmpl w:val="0C36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21C5B"/>
    <w:multiLevelType w:val="hybridMultilevel"/>
    <w:tmpl w:val="1702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C63FC"/>
    <w:multiLevelType w:val="hybridMultilevel"/>
    <w:tmpl w:val="EC8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67336"/>
    <w:multiLevelType w:val="hybridMultilevel"/>
    <w:tmpl w:val="6E8ED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5A1F13"/>
    <w:multiLevelType w:val="hybridMultilevel"/>
    <w:tmpl w:val="1D860F9C"/>
    <w:lvl w:ilvl="0" w:tplc="1A8CE15A">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2226AB"/>
    <w:multiLevelType w:val="hybridMultilevel"/>
    <w:tmpl w:val="4CFA6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C70E8"/>
    <w:multiLevelType w:val="hybridMultilevel"/>
    <w:tmpl w:val="CE60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5777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D67DB"/>
    <w:multiLevelType w:val="hybridMultilevel"/>
    <w:tmpl w:val="FBEE7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B0C0C"/>
    <w:multiLevelType w:val="hybridMultilevel"/>
    <w:tmpl w:val="BF2A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C7AD8"/>
    <w:multiLevelType w:val="hybridMultilevel"/>
    <w:tmpl w:val="E3AA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E1192"/>
    <w:multiLevelType w:val="hybridMultilevel"/>
    <w:tmpl w:val="7FD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6744C"/>
    <w:multiLevelType w:val="hybridMultilevel"/>
    <w:tmpl w:val="CBAC1B26"/>
    <w:lvl w:ilvl="0" w:tplc="8266E73A">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21E1C86"/>
    <w:multiLevelType w:val="multilevel"/>
    <w:tmpl w:val="109C7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2D578A5"/>
    <w:multiLevelType w:val="hybridMultilevel"/>
    <w:tmpl w:val="2AA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62108A"/>
    <w:multiLevelType w:val="hybridMultilevel"/>
    <w:tmpl w:val="49BE7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E4F4A63"/>
    <w:multiLevelType w:val="hybridMultilevel"/>
    <w:tmpl w:val="B220F9A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9A4AD2"/>
    <w:multiLevelType w:val="hybridMultilevel"/>
    <w:tmpl w:val="4F0E3CD4"/>
    <w:lvl w:ilvl="0" w:tplc="8266E73A">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98365C6"/>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7AA90232"/>
    <w:multiLevelType w:val="hybridMultilevel"/>
    <w:tmpl w:val="BB4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7EE43B1C"/>
    <w:multiLevelType w:val="hybridMultilevel"/>
    <w:tmpl w:val="C862C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9"/>
  </w:num>
  <w:num w:numId="4">
    <w:abstractNumId w:val="3"/>
  </w:num>
  <w:num w:numId="5">
    <w:abstractNumId w:val="27"/>
  </w:num>
  <w:num w:numId="6">
    <w:abstractNumId w:val="2"/>
  </w:num>
  <w:num w:numId="7">
    <w:abstractNumId w:val="23"/>
  </w:num>
  <w:num w:numId="8">
    <w:abstractNumId w:val="11"/>
  </w:num>
  <w:num w:numId="9">
    <w:abstractNumId w:val="20"/>
  </w:num>
  <w:num w:numId="10">
    <w:abstractNumId w:val="1"/>
  </w:num>
  <w:num w:numId="11">
    <w:abstractNumId w:val="15"/>
  </w:num>
  <w:num w:numId="12">
    <w:abstractNumId w:val="14"/>
  </w:num>
  <w:num w:numId="13">
    <w:abstractNumId w:val="12"/>
  </w:num>
  <w:num w:numId="14">
    <w:abstractNumId w:val="10"/>
  </w:num>
  <w:num w:numId="15">
    <w:abstractNumId w:val="26"/>
  </w:num>
  <w:num w:numId="16">
    <w:abstractNumId w:val="5"/>
  </w:num>
  <w:num w:numId="17">
    <w:abstractNumId w:val="4"/>
  </w:num>
  <w:num w:numId="18">
    <w:abstractNumId w:val="24"/>
  </w:num>
  <w:num w:numId="19">
    <w:abstractNumId w:val="18"/>
  </w:num>
  <w:num w:numId="20">
    <w:abstractNumId w:val="17"/>
  </w:num>
  <w:num w:numId="21">
    <w:abstractNumId w:val="13"/>
  </w:num>
  <w:num w:numId="22">
    <w:abstractNumId w:val="16"/>
  </w:num>
  <w:num w:numId="23">
    <w:abstractNumId w:val="8"/>
  </w:num>
  <w:num w:numId="24">
    <w:abstractNumId w:val="21"/>
  </w:num>
  <w:num w:numId="25">
    <w:abstractNumId w:val="6"/>
  </w:num>
  <w:num w:numId="26">
    <w:abstractNumId w:val="19"/>
  </w:num>
  <w:num w:numId="27">
    <w:abstractNumId w:val="0"/>
  </w:num>
  <w:num w:numId="28">
    <w:abstractNumId w:val="23"/>
    <w:lvlOverride w:ilvl="0">
      <w:lvl w:ilvl="0">
        <w:numFmt w:val="decimal"/>
        <w:lvlText w:val="%1."/>
        <w:lvlJc w:val="left"/>
        <w:pPr>
          <w:ind w:left="360" w:hanging="360"/>
        </w:pPr>
        <w:rPr>
          <w:b w:val="0"/>
          <w:i w:val="0"/>
          <w:color w:val="000000"/>
          <w:sz w:val="24"/>
        </w:rPr>
      </w:lvl>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NTIzNDc2MzIwtTBV0lEKTi0uzszPAykwqQUARZJmRywAAAA="/>
  </w:docVars>
  <w:rsids>
    <w:rsidRoot w:val="0080343B"/>
    <w:rsid w:val="00004E36"/>
    <w:rsid w:val="00012CD8"/>
    <w:rsid w:val="0002043A"/>
    <w:rsid w:val="0003290E"/>
    <w:rsid w:val="00041903"/>
    <w:rsid w:val="00063545"/>
    <w:rsid w:val="0006524C"/>
    <w:rsid w:val="000700A9"/>
    <w:rsid w:val="00080562"/>
    <w:rsid w:val="00080850"/>
    <w:rsid w:val="0008139C"/>
    <w:rsid w:val="00081AB7"/>
    <w:rsid w:val="00081AFE"/>
    <w:rsid w:val="00083985"/>
    <w:rsid w:val="00084994"/>
    <w:rsid w:val="000852E2"/>
    <w:rsid w:val="000864FA"/>
    <w:rsid w:val="000A44CE"/>
    <w:rsid w:val="000B0D2A"/>
    <w:rsid w:val="000B4310"/>
    <w:rsid w:val="000B738B"/>
    <w:rsid w:val="000C39D0"/>
    <w:rsid w:val="000C4259"/>
    <w:rsid w:val="000C7748"/>
    <w:rsid w:val="000D4A06"/>
    <w:rsid w:val="000E1C72"/>
    <w:rsid w:val="000E7906"/>
    <w:rsid w:val="000E7B34"/>
    <w:rsid w:val="000F3BAB"/>
    <w:rsid w:val="000F517E"/>
    <w:rsid w:val="000F578C"/>
    <w:rsid w:val="00101346"/>
    <w:rsid w:val="00111DE0"/>
    <w:rsid w:val="00120373"/>
    <w:rsid w:val="00125020"/>
    <w:rsid w:val="001259AB"/>
    <w:rsid w:val="00141A48"/>
    <w:rsid w:val="00142786"/>
    <w:rsid w:val="00147796"/>
    <w:rsid w:val="00147AC7"/>
    <w:rsid w:val="00151AF4"/>
    <w:rsid w:val="00153E45"/>
    <w:rsid w:val="00155CE6"/>
    <w:rsid w:val="001667D4"/>
    <w:rsid w:val="001737C5"/>
    <w:rsid w:val="00177FFE"/>
    <w:rsid w:val="00183F3D"/>
    <w:rsid w:val="00185D64"/>
    <w:rsid w:val="00194BC9"/>
    <w:rsid w:val="001A19F3"/>
    <w:rsid w:val="001A288C"/>
    <w:rsid w:val="001A6406"/>
    <w:rsid w:val="001B3B51"/>
    <w:rsid w:val="001C3472"/>
    <w:rsid w:val="001D285B"/>
    <w:rsid w:val="001D481B"/>
    <w:rsid w:val="001E42DC"/>
    <w:rsid w:val="001F515A"/>
    <w:rsid w:val="0020172B"/>
    <w:rsid w:val="00211C9A"/>
    <w:rsid w:val="00212853"/>
    <w:rsid w:val="00215A4A"/>
    <w:rsid w:val="0022215A"/>
    <w:rsid w:val="00224942"/>
    <w:rsid w:val="00225193"/>
    <w:rsid w:val="0023354C"/>
    <w:rsid w:val="00234A94"/>
    <w:rsid w:val="00234E4D"/>
    <w:rsid w:val="00235F04"/>
    <w:rsid w:val="00244F49"/>
    <w:rsid w:val="002507C1"/>
    <w:rsid w:val="002617F2"/>
    <w:rsid w:val="00262814"/>
    <w:rsid w:val="00273E78"/>
    <w:rsid w:val="00274196"/>
    <w:rsid w:val="00274FC3"/>
    <w:rsid w:val="0027565B"/>
    <w:rsid w:val="00282D04"/>
    <w:rsid w:val="002859C4"/>
    <w:rsid w:val="00290D12"/>
    <w:rsid w:val="00292904"/>
    <w:rsid w:val="00292A2D"/>
    <w:rsid w:val="00293CAC"/>
    <w:rsid w:val="002A24DD"/>
    <w:rsid w:val="002B788C"/>
    <w:rsid w:val="002C293A"/>
    <w:rsid w:val="002C3F2F"/>
    <w:rsid w:val="002D3056"/>
    <w:rsid w:val="00303C22"/>
    <w:rsid w:val="00307779"/>
    <w:rsid w:val="003206A7"/>
    <w:rsid w:val="00323A11"/>
    <w:rsid w:val="00323BE5"/>
    <w:rsid w:val="00332CBE"/>
    <w:rsid w:val="0034284F"/>
    <w:rsid w:val="00350A6B"/>
    <w:rsid w:val="00351119"/>
    <w:rsid w:val="00351A85"/>
    <w:rsid w:val="0036005E"/>
    <w:rsid w:val="00371085"/>
    <w:rsid w:val="00376912"/>
    <w:rsid w:val="003B1628"/>
    <w:rsid w:val="003C02B4"/>
    <w:rsid w:val="003C118C"/>
    <w:rsid w:val="003D152B"/>
    <w:rsid w:val="003D22E2"/>
    <w:rsid w:val="003D39AC"/>
    <w:rsid w:val="003D5337"/>
    <w:rsid w:val="003E419E"/>
    <w:rsid w:val="003F1717"/>
    <w:rsid w:val="003F57E2"/>
    <w:rsid w:val="004000D7"/>
    <w:rsid w:val="00404CC1"/>
    <w:rsid w:val="0041071B"/>
    <w:rsid w:val="0041288A"/>
    <w:rsid w:val="0041386C"/>
    <w:rsid w:val="00415B2D"/>
    <w:rsid w:val="00417A44"/>
    <w:rsid w:val="00420B80"/>
    <w:rsid w:val="00421E85"/>
    <w:rsid w:val="00434626"/>
    <w:rsid w:val="00446EA0"/>
    <w:rsid w:val="00451EC5"/>
    <w:rsid w:val="00453CEB"/>
    <w:rsid w:val="00454337"/>
    <w:rsid w:val="00457E6E"/>
    <w:rsid w:val="0046302B"/>
    <w:rsid w:val="004674CE"/>
    <w:rsid w:val="00471B53"/>
    <w:rsid w:val="00475DDD"/>
    <w:rsid w:val="00475E86"/>
    <w:rsid w:val="004815D5"/>
    <w:rsid w:val="004875A6"/>
    <w:rsid w:val="00493F4D"/>
    <w:rsid w:val="00494222"/>
    <w:rsid w:val="00495BA4"/>
    <w:rsid w:val="004A0B51"/>
    <w:rsid w:val="004B3904"/>
    <w:rsid w:val="004B6C44"/>
    <w:rsid w:val="004D0AF1"/>
    <w:rsid w:val="004D5D9B"/>
    <w:rsid w:val="004D734E"/>
    <w:rsid w:val="004F1D5C"/>
    <w:rsid w:val="004F6BCC"/>
    <w:rsid w:val="00504789"/>
    <w:rsid w:val="00504B3A"/>
    <w:rsid w:val="00504E43"/>
    <w:rsid w:val="0051122B"/>
    <w:rsid w:val="00511ADA"/>
    <w:rsid w:val="005129A5"/>
    <w:rsid w:val="00521F70"/>
    <w:rsid w:val="00531D64"/>
    <w:rsid w:val="00536DB5"/>
    <w:rsid w:val="0054009D"/>
    <w:rsid w:val="00541AC0"/>
    <w:rsid w:val="005447A4"/>
    <w:rsid w:val="005448C4"/>
    <w:rsid w:val="00546C8E"/>
    <w:rsid w:val="00550F86"/>
    <w:rsid w:val="00552DDB"/>
    <w:rsid w:val="005719F8"/>
    <w:rsid w:val="005973F9"/>
    <w:rsid w:val="005A1D70"/>
    <w:rsid w:val="005A2BD2"/>
    <w:rsid w:val="005A374D"/>
    <w:rsid w:val="005B2CC7"/>
    <w:rsid w:val="005C00ED"/>
    <w:rsid w:val="005C2D76"/>
    <w:rsid w:val="005C3D0D"/>
    <w:rsid w:val="005E2614"/>
    <w:rsid w:val="005E59A7"/>
    <w:rsid w:val="005F090F"/>
    <w:rsid w:val="00607E08"/>
    <w:rsid w:val="00626FEC"/>
    <w:rsid w:val="0063005A"/>
    <w:rsid w:val="00635BBB"/>
    <w:rsid w:val="0064088C"/>
    <w:rsid w:val="00642568"/>
    <w:rsid w:val="0064398C"/>
    <w:rsid w:val="00645C5F"/>
    <w:rsid w:val="00657158"/>
    <w:rsid w:val="006645F7"/>
    <w:rsid w:val="0066475A"/>
    <w:rsid w:val="00672EEF"/>
    <w:rsid w:val="006762B3"/>
    <w:rsid w:val="00677749"/>
    <w:rsid w:val="006848C3"/>
    <w:rsid w:val="0069106B"/>
    <w:rsid w:val="00691CCA"/>
    <w:rsid w:val="006B281B"/>
    <w:rsid w:val="006C6E0A"/>
    <w:rsid w:val="006D483D"/>
    <w:rsid w:val="006E05A3"/>
    <w:rsid w:val="006E21CF"/>
    <w:rsid w:val="00700AB8"/>
    <w:rsid w:val="007070ED"/>
    <w:rsid w:val="00707547"/>
    <w:rsid w:val="007132D7"/>
    <w:rsid w:val="00715197"/>
    <w:rsid w:val="007451C4"/>
    <w:rsid w:val="00746BA7"/>
    <w:rsid w:val="00747F9C"/>
    <w:rsid w:val="00760DAE"/>
    <w:rsid w:val="00764464"/>
    <w:rsid w:val="00767051"/>
    <w:rsid w:val="0078201F"/>
    <w:rsid w:val="00786F7C"/>
    <w:rsid w:val="007908F4"/>
    <w:rsid w:val="00792DE3"/>
    <w:rsid w:val="007974F6"/>
    <w:rsid w:val="007A6B36"/>
    <w:rsid w:val="007B2E2F"/>
    <w:rsid w:val="007C675C"/>
    <w:rsid w:val="007D41C4"/>
    <w:rsid w:val="007E6B88"/>
    <w:rsid w:val="007E6E50"/>
    <w:rsid w:val="007F4A7D"/>
    <w:rsid w:val="007F6410"/>
    <w:rsid w:val="007F6D43"/>
    <w:rsid w:val="007F7C12"/>
    <w:rsid w:val="00801A3A"/>
    <w:rsid w:val="0080343B"/>
    <w:rsid w:val="008043C1"/>
    <w:rsid w:val="00807EF4"/>
    <w:rsid w:val="008117F2"/>
    <w:rsid w:val="00816796"/>
    <w:rsid w:val="00817AC6"/>
    <w:rsid w:val="008244AA"/>
    <w:rsid w:val="0083304A"/>
    <w:rsid w:val="00835A43"/>
    <w:rsid w:val="00840192"/>
    <w:rsid w:val="00851289"/>
    <w:rsid w:val="00852C29"/>
    <w:rsid w:val="00852CEE"/>
    <w:rsid w:val="00853413"/>
    <w:rsid w:val="0085605D"/>
    <w:rsid w:val="00860496"/>
    <w:rsid w:val="0086318C"/>
    <w:rsid w:val="0086495A"/>
    <w:rsid w:val="00880CE5"/>
    <w:rsid w:val="008878A1"/>
    <w:rsid w:val="008924B3"/>
    <w:rsid w:val="008A22C6"/>
    <w:rsid w:val="008C08E0"/>
    <w:rsid w:val="008D367E"/>
    <w:rsid w:val="008D594D"/>
    <w:rsid w:val="008E47F8"/>
    <w:rsid w:val="008F1DDB"/>
    <w:rsid w:val="008F4F35"/>
    <w:rsid w:val="009056A4"/>
    <w:rsid w:val="009138E4"/>
    <w:rsid w:val="00914C48"/>
    <w:rsid w:val="009244CF"/>
    <w:rsid w:val="00926255"/>
    <w:rsid w:val="009344AE"/>
    <w:rsid w:val="00944A56"/>
    <w:rsid w:val="00957106"/>
    <w:rsid w:val="00963B3C"/>
    <w:rsid w:val="00967B90"/>
    <w:rsid w:val="009749EA"/>
    <w:rsid w:val="00983205"/>
    <w:rsid w:val="00992E5E"/>
    <w:rsid w:val="009A3754"/>
    <w:rsid w:val="009A6DC3"/>
    <w:rsid w:val="009B05A1"/>
    <w:rsid w:val="009B0C2A"/>
    <w:rsid w:val="009B4AC3"/>
    <w:rsid w:val="009B75EE"/>
    <w:rsid w:val="009C5C20"/>
    <w:rsid w:val="009D57BC"/>
    <w:rsid w:val="009E05DE"/>
    <w:rsid w:val="009E300C"/>
    <w:rsid w:val="009E4455"/>
    <w:rsid w:val="009E6BF5"/>
    <w:rsid w:val="009E7EBA"/>
    <w:rsid w:val="009F00B3"/>
    <w:rsid w:val="009F3826"/>
    <w:rsid w:val="009F7705"/>
    <w:rsid w:val="00A16355"/>
    <w:rsid w:val="00A165DD"/>
    <w:rsid w:val="00A179E7"/>
    <w:rsid w:val="00A238E7"/>
    <w:rsid w:val="00A30C3C"/>
    <w:rsid w:val="00A33CFA"/>
    <w:rsid w:val="00A34514"/>
    <w:rsid w:val="00A46F45"/>
    <w:rsid w:val="00A5175C"/>
    <w:rsid w:val="00A5297F"/>
    <w:rsid w:val="00A53993"/>
    <w:rsid w:val="00A60424"/>
    <w:rsid w:val="00A63C3F"/>
    <w:rsid w:val="00A7718B"/>
    <w:rsid w:val="00AA02AA"/>
    <w:rsid w:val="00AA46DC"/>
    <w:rsid w:val="00AA4E02"/>
    <w:rsid w:val="00AC1872"/>
    <w:rsid w:val="00AC6468"/>
    <w:rsid w:val="00AD1C56"/>
    <w:rsid w:val="00AD3284"/>
    <w:rsid w:val="00AD4D5F"/>
    <w:rsid w:val="00AE150F"/>
    <w:rsid w:val="00AE210C"/>
    <w:rsid w:val="00AE4878"/>
    <w:rsid w:val="00AE7473"/>
    <w:rsid w:val="00AF1D98"/>
    <w:rsid w:val="00AF3641"/>
    <w:rsid w:val="00AF3669"/>
    <w:rsid w:val="00AF44D6"/>
    <w:rsid w:val="00AF4A2E"/>
    <w:rsid w:val="00B1240A"/>
    <w:rsid w:val="00B2056E"/>
    <w:rsid w:val="00B21479"/>
    <w:rsid w:val="00B2346F"/>
    <w:rsid w:val="00B24B10"/>
    <w:rsid w:val="00B347CB"/>
    <w:rsid w:val="00B34BF6"/>
    <w:rsid w:val="00B46DEB"/>
    <w:rsid w:val="00B51D02"/>
    <w:rsid w:val="00B526E5"/>
    <w:rsid w:val="00B55833"/>
    <w:rsid w:val="00B62A7D"/>
    <w:rsid w:val="00B77030"/>
    <w:rsid w:val="00B779B0"/>
    <w:rsid w:val="00B81299"/>
    <w:rsid w:val="00B819CA"/>
    <w:rsid w:val="00B83B32"/>
    <w:rsid w:val="00B848D5"/>
    <w:rsid w:val="00B90746"/>
    <w:rsid w:val="00B92FCA"/>
    <w:rsid w:val="00B94F7E"/>
    <w:rsid w:val="00BC20A4"/>
    <w:rsid w:val="00BC5611"/>
    <w:rsid w:val="00BD262B"/>
    <w:rsid w:val="00BD6B8E"/>
    <w:rsid w:val="00BE06BA"/>
    <w:rsid w:val="00C05DB0"/>
    <w:rsid w:val="00C07F80"/>
    <w:rsid w:val="00C11DF7"/>
    <w:rsid w:val="00C12BF0"/>
    <w:rsid w:val="00C17B8B"/>
    <w:rsid w:val="00C245A4"/>
    <w:rsid w:val="00C26807"/>
    <w:rsid w:val="00C30540"/>
    <w:rsid w:val="00C364AC"/>
    <w:rsid w:val="00C423EC"/>
    <w:rsid w:val="00C42988"/>
    <w:rsid w:val="00C42C7C"/>
    <w:rsid w:val="00C44123"/>
    <w:rsid w:val="00C4691F"/>
    <w:rsid w:val="00C521F6"/>
    <w:rsid w:val="00C5402A"/>
    <w:rsid w:val="00C54136"/>
    <w:rsid w:val="00C630D3"/>
    <w:rsid w:val="00C63155"/>
    <w:rsid w:val="00C708D6"/>
    <w:rsid w:val="00C82A08"/>
    <w:rsid w:val="00C938DE"/>
    <w:rsid w:val="00C9584F"/>
    <w:rsid w:val="00CB38F5"/>
    <w:rsid w:val="00CC1CFB"/>
    <w:rsid w:val="00CD345A"/>
    <w:rsid w:val="00CD47F1"/>
    <w:rsid w:val="00CD6150"/>
    <w:rsid w:val="00CE05EB"/>
    <w:rsid w:val="00CE1DAB"/>
    <w:rsid w:val="00CE4694"/>
    <w:rsid w:val="00CE4F78"/>
    <w:rsid w:val="00CE7E7C"/>
    <w:rsid w:val="00CF4F0B"/>
    <w:rsid w:val="00CF518E"/>
    <w:rsid w:val="00D11BA6"/>
    <w:rsid w:val="00D160A1"/>
    <w:rsid w:val="00D20158"/>
    <w:rsid w:val="00D201A7"/>
    <w:rsid w:val="00D23683"/>
    <w:rsid w:val="00D238A5"/>
    <w:rsid w:val="00D26F0D"/>
    <w:rsid w:val="00D40A0A"/>
    <w:rsid w:val="00D415EF"/>
    <w:rsid w:val="00D50626"/>
    <w:rsid w:val="00D50CFF"/>
    <w:rsid w:val="00D53590"/>
    <w:rsid w:val="00D55026"/>
    <w:rsid w:val="00D7793F"/>
    <w:rsid w:val="00D80CBE"/>
    <w:rsid w:val="00D80D34"/>
    <w:rsid w:val="00D9514C"/>
    <w:rsid w:val="00D95E2E"/>
    <w:rsid w:val="00DA1F81"/>
    <w:rsid w:val="00DA4417"/>
    <w:rsid w:val="00DB0023"/>
    <w:rsid w:val="00DD2FA7"/>
    <w:rsid w:val="00DD6DCB"/>
    <w:rsid w:val="00DE4AF8"/>
    <w:rsid w:val="00DF2A64"/>
    <w:rsid w:val="00E031AF"/>
    <w:rsid w:val="00E11983"/>
    <w:rsid w:val="00E21B8F"/>
    <w:rsid w:val="00E37D14"/>
    <w:rsid w:val="00E411FE"/>
    <w:rsid w:val="00E4181E"/>
    <w:rsid w:val="00E44635"/>
    <w:rsid w:val="00E500CC"/>
    <w:rsid w:val="00E5254E"/>
    <w:rsid w:val="00E55D84"/>
    <w:rsid w:val="00E57103"/>
    <w:rsid w:val="00E83513"/>
    <w:rsid w:val="00E90A2B"/>
    <w:rsid w:val="00E93EC7"/>
    <w:rsid w:val="00EA17DB"/>
    <w:rsid w:val="00EB0742"/>
    <w:rsid w:val="00EB6594"/>
    <w:rsid w:val="00EC099B"/>
    <w:rsid w:val="00EC3A0A"/>
    <w:rsid w:val="00EC55BF"/>
    <w:rsid w:val="00EC5B12"/>
    <w:rsid w:val="00ED20C9"/>
    <w:rsid w:val="00EE48C2"/>
    <w:rsid w:val="00EE67D9"/>
    <w:rsid w:val="00EE7CB3"/>
    <w:rsid w:val="00EF1B50"/>
    <w:rsid w:val="00F000D0"/>
    <w:rsid w:val="00F00884"/>
    <w:rsid w:val="00F05530"/>
    <w:rsid w:val="00F11328"/>
    <w:rsid w:val="00F26CF8"/>
    <w:rsid w:val="00F359E7"/>
    <w:rsid w:val="00F36397"/>
    <w:rsid w:val="00F52CFF"/>
    <w:rsid w:val="00F555E7"/>
    <w:rsid w:val="00F56809"/>
    <w:rsid w:val="00F56C74"/>
    <w:rsid w:val="00F60399"/>
    <w:rsid w:val="00F623A7"/>
    <w:rsid w:val="00F660B2"/>
    <w:rsid w:val="00F71E77"/>
    <w:rsid w:val="00F76BDA"/>
    <w:rsid w:val="00F76CFB"/>
    <w:rsid w:val="00F849BF"/>
    <w:rsid w:val="00F94CD0"/>
    <w:rsid w:val="00F95CF7"/>
    <w:rsid w:val="00FA3FE1"/>
    <w:rsid w:val="00FB0654"/>
    <w:rsid w:val="00FB1589"/>
    <w:rsid w:val="00FC2B4B"/>
    <w:rsid w:val="00FD3A85"/>
    <w:rsid w:val="00FE0B44"/>
    <w:rsid w:val="00FF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673978"/>
  <w15:docId w15:val="{B96086EE-FDF6-4450-8969-4CF6A844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39"/>
    <w:rsid w:val="0094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B0023"/>
  </w:style>
  <w:style w:type="numbering" w:customStyle="1" w:styleId="StyleNumberedLeft0cmHanging075cm">
    <w:name w:val="Style Numbered Left:  0 cm Hanging:  0.75 cm"/>
    <w:rsid w:val="00DB0023"/>
    <w:pPr>
      <w:numPr>
        <w:numId w:val="6"/>
      </w:numPr>
    </w:pPr>
  </w:style>
  <w:style w:type="paragraph" w:styleId="FootnoteText">
    <w:name w:val="footnote text"/>
    <w:basedOn w:val="Normal"/>
    <w:link w:val="FootnoteTextChar"/>
    <w:uiPriority w:val="99"/>
    <w:semiHidden/>
    <w:unhideWhenUsed/>
    <w:rsid w:val="00FF14CF"/>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FF14CF"/>
    <w:rPr>
      <w:rFonts w:asciiTheme="minorHAnsi" w:eastAsia="Times New Roman" w:hAnsiTheme="minorHAnsi" w:cs="Times New Roman"/>
      <w:sz w:val="20"/>
      <w:szCs w:val="20"/>
    </w:rPr>
  </w:style>
  <w:style w:type="character" w:styleId="FootnoteReference">
    <w:name w:val="footnote reference"/>
    <w:basedOn w:val="DefaultParagraphFont"/>
    <w:uiPriority w:val="99"/>
    <w:semiHidden/>
    <w:unhideWhenUsed/>
    <w:rsid w:val="00FF14CF"/>
    <w:rPr>
      <w:rFonts w:cs="Times New Roman"/>
      <w:vertAlign w:val="superscript"/>
    </w:rPr>
  </w:style>
  <w:style w:type="character" w:styleId="CommentReference">
    <w:name w:val="annotation reference"/>
    <w:basedOn w:val="DefaultParagraphFont"/>
    <w:uiPriority w:val="99"/>
    <w:semiHidden/>
    <w:unhideWhenUsed/>
    <w:rsid w:val="003E419E"/>
    <w:rPr>
      <w:sz w:val="16"/>
      <w:szCs w:val="16"/>
    </w:rPr>
  </w:style>
  <w:style w:type="paragraph" w:styleId="CommentText">
    <w:name w:val="annotation text"/>
    <w:basedOn w:val="Normal"/>
    <w:link w:val="CommentTextChar"/>
    <w:uiPriority w:val="99"/>
    <w:semiHidden/>
    <w:unhideWhenUsed/>
    <w:rsid w:val="003E419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E419E"/>
    <w:rPr>
      <w:rFonts w:asciiTheme="minorHAnsi" w:hAnsiTheme="minorHAnsi" w:cstheme="minorBidi"/>
      <w:sz w:val="20"/>
      <w:szCs w:val="20"/>
    </w:rPr>
  </w:style>
  <w:style w:type="character" w:customStyle="1" w:styleId="content-text">
    <w:name w:val="content-text"/>
    <w:basedOn w:val="DefaultParagraphFont"/>
    <w:rsid w:val="0078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4921">
      <w:bodyDiv w:val="1"/>
      <w:marLeft w:val="0"/>
      <w:marRight w:val="0"/>
      <w:marTop w:val="0"/>
      <w:marBottom w:val="0"/>
      <w:divBdr>
        <w:top w:val="none" w:sz="0" w:space="0" w:color="auto"/>
        <w:left w:val="none" w:sz="0" w:space="0" w:color="auto"/>
        <w:bottom w:val="none" w:sz="0" w:space="0" w:color="auto"/>
        <w:right w:val="none" w:sz="0" w:space="0" w:color="auto"/>
      </w:divBdr>
    </w:div>
    <w:div w:id="255208065">
      <w:bodyDiv w:val="1"/>
      <w:marLeft w:val="0"/>
      <w:marRight w:val="0"/>
      <w:marTop w:val="0"/>
      <w:marBottom w:val="0"/>
      <w:divBdr>
        <w:top w:val="none" w:sz="0" w:space="0" w:color="auto"/>
        <w:left w:val="none" w:sz="0" w:space="0" w:color="auto"/>
        <w:bottom w:val="none" w:sz="0" w:space="0" w:color="auto"/>
        <w:right w:val="none" w:sz="0" w:space="0" w:color="auto"/>
      </w:divBdr>
    </w:div>
    <w:div w:id="462769293">
      <w:bodyDiv w:val="1"/>
      <w:marLeft w:val="0"/>
      <w:marRight w:val="0"/>
      <w:marTop w:val="0"/>
      <w:marBottom w:val="0"/>
      <w:divBdr>
        <w:top w:val="none" w:sz="0" w:space="0" w:color="auto"/>
        <w:left w:val="none" w:sz="0" w:space="0" w:color="auto"/>
        <w:bottom w:val="none" w:sz="0" w:space="0" w:color="auto"/>
        <w:right w:val="none" w:sz="0" w:space="0" w:color="auto"/>
      </w:divBdr>
    </w:div>
    <w:div w:id="469976707">
      <w:bodyDiv w:val="1"/>
      <w:marLeft w:val="0"/>
      <w:marRight w:val="0"/>
      <w:marTop w:val="0"/>
      <w:marBottom w:val="0"/>
      <w:divBdr>
        <w:top w:val="none" w:sz="0" w:space="0" w:color="auto"/>
        <w:left w:val="none" w:sz="0" w:space="0" w:color="auto"/>
        <w:bottom w:val="none" w:sz="0" w:space="0" w:color="auto"/>
        <w:right w:val="none" w:sz="0" w:space="0" w:color="auto"/>
      </w:divBdr>
    </w:div>
    <w:div w:id="497768343">
      <w:bodyDiv w:val="1"/>
      <w:marLeft w:val="0"/>
      <w:marRight w:val="0"/>
      <w:marTop w:val="0"/>
      <w:marBottom w:val="0"/>
      <w:divBdr>
        <w:top w:val="none" w:sz="0" w:space="0" w:color="auto"/>
        <w:left w:val="none" w:sz="0" w:space="0" w:color="auto"/>
        <w:bottom w:val="none" w:sz="0" w:space="0" w:color="auto"/>
        <w:right w:val="none" w:sz="0" w:space="0" w:color="auto"/>
      </w:divBdr>
    </w:div>
    <w:div w:id="539708159">
      <w:bodyDiv w:val="1"/>
      <w:marLeft w:val="0"/>
      <w:marRight w:val="0"/>
      <w:marTop w:val="0"/>
      <w:marBottom w:val="0"/>
      <w:divBdr>
        <w:top w:val="none" w:sz="0" w:space="0" w:color="auto"/>
        <w:left w:val="none" w:sz="0" w:space="0" w:color="auto"/>
        <w:bottom w:val="none" w:sz="0" w:space="0" w:color="auto"/>
        <w:right w:val="none" w:sz="0" w:space="0" w:color="auto"/>
      </w:divBdr>
    </w:div>
    <w:div w:id="544214829">
      <w:bodyDiv w:val="1"/>
      <w:marLeft w:val="0"/>
      <w:marRight w:val="0"/>
      <w:marTop w:val="0"/>
      <w:marBottom w:val="0"/>
      <w:divBdr>
        <w:top w:val="none" w:sz="0" w:space="0" w:color="auto"/>
        <w:left w:val="none" w:sz="0" w:space="0" w:color="auto"/>
        <w:bottom w:val="none" w:sz="0" w:space="0" w:color="auto"/>
        <w:right w:val="none" w:sz="0" w:space="0" w:color="auto"/>
      </w:divBdr>
    </w:div>
    <w:div w:id="571700406">
      <w:bodyDiv w:val="1"/>
      <w:marLeft w:val="0"/>
      <w:marRight w:val="0"/>
      <w:marTop w:val="0"/>
      <w:marBottom w:val="0"/>
      <w:divBdr>
        <w:top w:val="none" w:sz="0" w:space="0" w:color="auto"/>
        <w:left w:val="none" w:sz="0" w:space="0" w:color="auto"/>
        <w:bottom w:val="none" w:sz="0" w:space="0" w:color="auto"/>
        <w:right w:val="none" w:sz="0" w:space="0" w:color="auto"/>
      </w:divBdr>
    </w:div>
    <w:div w:id="613944510">
      <w:bodyDiv w:val="1"/>
      <w:marLeft w:val="0"/>
      <w:marRight w:val="0"/>
      <w:marTop w:val="0"/>
      <w:marBottom w:val="0"/>
      <w:divBdr>
        <w:top w:val="none" w:sz="0" w:space="0" w:color="auto"/>
        <w:left w:val="none" w:sz="0" w:space="0" w:color="auto"/>
        <w:bottom w:val="none" w:sz="0" w:space="0" w:color="auto"/>
        <w:right w:val="none" w:sz="0" w:space="0" w:color="auto"/>
      </w:divBdr>
    </w:div>
    <w:div w:id="642268943">
      <w:bodyDiv w:val="1"/>
      <w:marLeft w:val="0"/>
      <w:marRight w:val="0"/>
      <w:marTop w:val="0"/>
      <w:marBottom w:val="0"/>
      <w:divBdr>
        <w:top w:val="none" w:sz="0" w:space="0" w:color="auto"/>
        <w:left w:val="none" w:sz="0" w:space="0" w:color="auto"/>
        <w:bottom w:val="none" w:sz="0" w:space="0" w:color="auto"/>
        <w:right w:val="none" w:sz="0" w:space="0" w:color="auto"/>
      </w:divBdr>
    </w:div>
    <w:div w:id="657419969">
      <w:bodyDiv w:val="1"/>
      <w:marLeft w:val="0"/>
      <w:marRight w:val="0"/>
      <w:marTop w:val="0"/>
      <w:marBottom w:val="0"/>
      <w:divBdr>
        <w:top w:val="none" w:sz="0" w:space="0" w:color="auto"/>
        <w:left w:val="none" w:sz="0" w:space="0" w:color="auto"/>
        <w:bottom w:val="none" w:sz="0" w:space="0" w:color="auto"/>
        <w:right w:val="none" w:sz="0" w:space="0" w:color="auto"/>
      </w:divBdr>
    </w:div>
    <w:div w:id="745106412">
      <w:bodyDiv w:val="1"/>
      <w:marLeft w:val="0"/>
      <w:marRight w:val="0"/>
      <w:marTop w:val="0"/>
      <w:marBottom w:val="0"/>
      <w:divBdr>
        <w:top w:val="none" w:sz="0" w:space="0" w:color="auto"/>
        <w:left w:val="none" w:sz="0" w:space="0" w:color="auto"/>
        <w:bottom w:val="none" w:sz="0" w:space="0" w:color="auto"/>
        <w:right w:val="none" w:sz="0" w:space="0" w:color="auto"/>
      </w:divBdr>
    </w:div>
    <w:div w:id="821971060">
      <w:bodyDiv w:val="1"/>
      <w:marLeft w:val="0"/>
      <w:marRight w:val="0"/>
      <w:marTop w:val="0"/>
      <w:marBottom w:val="0"/>
      <w:divBdr>
        <w:top w:val="none" w:sz="0" w:space="0" w:color="auto"/>
        <w:left w:val="none" w:sz="0" w:space="0" w:color="auto"/>
        <w:bottom w:val="none" w:sz="0" w:space="0" w:color="auto"/>
        <w:right w:val="none" w:sz="0" w:space="0" w:color="auto"/>
      </w:divBdr>
    </w:div>
    <w:div w:id="974024171">
      <w:bodyDiv w:val="1"/>
      <w:marLeft w:val="0"/>
      <w:marRight w:val="0"/>
      <w:marTop w:val="0"/>
      <w:marBottom w:val="0"/>
      <w:divBdr>
        <w:top w:val="none" w:sz="0" w:space="0" w:color="auto"/>
        <w:left w:val="none" w:sz="0" w:space="0" w:color="auto"/>
        <w:bottom w:val="none" w:sz="0" w:space="0" w:color="auto"/>
        <w:right w:val="none" w:sz="0" w:space="0" w:color="auto"/>
      </w:divBdr>
    </w:div>
    <w:div w:id="1112633863">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280183838">
      <w:bodyDiv w:val="1"/>
      <w:marLeft w:val="0"/>
      <w:marRight w:val="0"/>
      <w:marTop w:val="0"/>
      <w:marBottom w:val="0"/>
      <w:divBdr>
        <w:top w:val="none" w:sz="0" w:space="0" w:color="auto"/>
        <w:left w:val="none" w:sz="0" w:space="0" w:color="auto"/>
        <w:bottom w:val="none" w:sz="0" w:space="0" w:color="auto"/>
        <w:right w:val="none" w:sz="0" w:space="0" w:color="auto"/>
      </w:divBdr>
    </w:div>
    <w:div w:id="1584293424">
      <w:bodyDiv w:val="1"/>
      <w:marLeft w:val="0"/>
      <w:marRight w:val="0"/>
      <w:marTop w:val="0"/>
      <w:marBottom w:val="0"/>
      <w:divBdr>
        <w:top w:val="none" w:sz="0" w:space="0" w:color="auto"/>
        <w:left w:val="none" w:sz="0" w:space="0" w:color="auto"/>
        <w:bottom w:val="none" w:sz="0" w:space="0" w:color="auto"/>
        <w:right w:val="none" w:sz="0" w:space="0" w:color="auto"/>
      </w:divBdr>
    </w:div>
    <w:div w:id="1602572057">
      <w:bodyDiv w:val="1"/>
      <w:marLeft w:val="0"/>
      <w:marRight w:val="0"/>
      <w:marTop w:val="0"/>
      <w:marBottom w:val="0"/>
      <w:divBdr>
        <w:top w:val="none" w:sz="0" w:space="0" w:color="auto"/>
        <w:left w:val="none" w:sz="0" w:space="0" w:color="auto"/>
        <w:bottom w:val="none" w:sz="0" w:space="0" w:color="auto"/>
        <w:right w:val="none" w:sz="0" w:space="0" w:color="auto"/>
      </w:divBdr>
    </w:div>
    <w:div w:id="1743603072">
      <w:bodyDiv w:val="1"/>
      <w:marLeft w:val="0"/>
      <w:marRight w:val="0"/>
      <w:marTop w:val="0"/>
      <w:marBottom w:val="0"/>
      <w:divBdr>
        <w:top w:val="none" w:sz="0" w:space="0" w:color="auto"/>
        <w:left w:val="none" w:sz="0" w:space="0" w:color="auto"/>
        <w:bottom w:val="none" w:sz="0" w:space="0" w:color="auto"/>
        <w:right w:val="none" w:sz="0" w:space="0" w:color="auto"/>
      </w:divBdr>
    </w:div>
    <w:div w:id="1752114790">
      <w:bodyDiv w:val="1"/>
      <w:marLeft w:val="0"/>
      <w:marRight w:val="0"/>
      <w:marTop w:val="0"/>
      <w:marBottom w:val="0"/>
      <w:divBdr>
        <w:top w:val="none" w:sz="0" w:space="0" w:color="auto"/>
        <w:left w:val="none" w:sz="0" w:space="0" w:color="auto"/>
        <w:bottom w:val="none" w:sz="0" w:space="0" w:color="auto"/>
        <w:right w:val="none" w:sz="0" w:space="0" w:color="auto"/>
      </w:divBdr>
    </w:div>
    <w:div w:id="1778526033">
      <w:bodyDiv w:val="1"/>
      <w:marLeft w:val="0"/>
      <w:marRight w:val="0"/>
      <w:marTop w:val="0"/>
      <w:marBottom w:val="0"/>
      <w:divBdr>
        <w:top w:val="none" w:sz="0" w:space="0" w:color="auto"/>
        <w:left w:val="none" w:sz="0" w:space="0" w:color="auto"/>
        <w:bottom w:val="none" w:sz="0" w:space="0" w:color="auto"/>
        <w:right w:val="none" w:sz="0" w:space="0" w:color="auto"/>
      </w:divBdr>
    </w:div>
    <w:div w:id="1845509392">
      <w:bodyDiv w:val="1"/>
      <w:marLeft w:val="0"/>
      <w:marRight w:val="0"/>
      <w:marTop w:val="0"/>
      <w:marBottom w:val="0"/>
      <w:divBdr>
        <w:top w:val="none" w:sz="0" w:space="0" w:color="auto"/>
        <w:left w:val="none" w:sz="0" w:space="0" w:color="auto"/>
        <w:bottom w:val="none" w:sz="0" w:space="0" w:color="auto"/>
        <w:right w:val="none" w:sz="0" w:space="0" w:color="auto"/>
      </w:divBdr>
    </w:div>
    <w:div w:id="1938632753">
      <w:bodyDiv w:val="1"/>
      <w:marLeft w:val="0"/>
      <w:marRight w:val="0"/>
      <w:marTop w:val="0"/>
      <w:marBottom w:val="0"/>
      <w:divBdr>
        <w:top w:val="none" w:sz="0" w:space="0" w:color="auto"/>
        <w:left w:val="none" w:sz="0" w:space="0" w:color="auto"/>
        <w:bottom w:val="none" w:sz="0" w:space="0" w:color="auto"/>
        <w:right w:val="none" w:sz="0" w:space="0" w:color="auto"/>
      </w:divBdr>
    </w:div>
    <w:div w:id="2008290841">
      <w:bodyDiv w:val="1"/>
      <w:marLeft w:val="0"/>
      <w:marRight w:val="0"/>
      <w:marTop w:val="0"/>
      <w:marBottom w:val="0"/>
      <w:divBdr>
        <w:top w:val="none" w:sz="0" w:space="0" w:color="auto"/>
        <w:left w:val="none" w:sz="0" w:space="0" w:color="auto"/>
        <w:bottom w:val="none" w:sz="0" w:space="0" w:color="auto"/>
        <w:right w:val="none" w:sz="0" w:space="0" w:color="auto"/>
      </w:divBdr>
    </w:div>
    <w:div w:id="20566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FDBAC3D539444B43A2884B3B59FF8" ma:contentTypeVersion="6" ma:contentTypeDescription="Create a new document." ma:contentTypeScope="" ma:versionID="c5602e411205bab88a99260606972eed">
  <xsd:schema xmlns:xsd="http://www.w3.org/2001/XMLSchema" xmlns:xs="http://www.w3.org/2001/XMLSchema" xmlns:p="http://schemas.microsoft.com/office/2006/metadata/properties" xmlns:ns2="a32d5f1b-9f98-4902-be3d-45120c2155ba" xmlns:ns3="ca0c6f25-960b-4ad0-86ba-4742c0ecca1e" targetNamespace="http://schemas.microsoft.com/office/2006/metadata/properties" ma:root="true" ma:fieldsID="8409b6cfb78b6fc41480d0e7008e158e" ns2:_="" ns3:_="">
    <xsd:import namespace="a32d5f1b-9f98-4902-be3d-45120c2155ba"/>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5f1b-9f98-4902-be3d-45120c215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7867-1ABD-4894-A3BB-E0CEEBC48F08}">
  <ds:schemaRefs>
    <ds:schemaRef ds:uri="ca0c6f25-960b-4ad0-86ba-4742c0ecca1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2d5f1b-9f98-4902-be3d-45120c2155ba"/>
    <ds:schemaRef ds:uri="http://www.w3.org/XML/1998/namespace"/>
    <ds:schemaRef ds:uri="http://purl.org/dc/dcmitype/"/>
  </ds:schemaRefs>
</ds:datastoreItem>
</file>

<file path=customXml/itemProps2.xml><?xml version="1.0" encoding="utf-8"?>
<ds:datastoreItem xmlns:ds="http://schemas.openxmlformats.org/officeDocument/2006/customXml" ds:itemID="{75812EFF-2D7D-4531-A0E9-84B74320406C}">
  <ds:schemaRefs>
    <ds:schemaRef ds:uri="http://schemas.microsoft.com/sharepoint/v3/contenttype/forms"/>
  </ds:schemaRefs>
</ds:datastoreItem>
</file>

<file path=customXml/itemProps3.xml><?xml version="1.0" encoding="utf-8"?>
<ds:datastoreItem xmlns:ds="http://schemas.openxmlformats.org/officeDocument/2006/customXml" ds:itemID="{8DA2EFC5-B413-433E-B17D-4B606CA2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5f1b-9f98-4902-be3d-45120c2155ba"/>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72941-6F1A-4DD3-B637-CEE0F103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TotalTime>
  <Pages>11</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daryl.edmunds</dc:creator>
  <cp:lastModifiedBy>COURTNEY Alice</cp:lastModifiedBy>
  <cp:revision>4</cp:revision>
  <dcterms:created xsi:type="dcterms:W3CDTF">2022-02-22T14:03:00Z</dcterms:created>
  <dcterms:modified xsi:type="dcterms:W3CDTF">2022-02-22T17:40:00Z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0x010100CFEFDBAC3D539444B43A2884B3B59FF8</vt:lpwstr>
  </property>
</Properties>
</file>